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sz w:val="32"/>
          <w:szCs w:val="32"/>
          <w:lang w:val="en-US"/>
        </w:rPr>
      </w:pPr>
      <w:r>
        <w:rPr>
          <w:rFonts w:hint="eastAsia" w:ascii="微软雅黑" w:hAnsi="微软雅黑" w:eastAsia="微软雅黑" w:cs="微软雅黑"/>
          <w:b/>
          <w:bCs/>
          <w:sz w:val="36"/>
          <w:szCs w:val="36"/>
          <w:lang w:val="en-US" w:eastAsia="zh-CN"/>
        </w:rPr>
        <w:t>车辆定点维修保养服务项目需求书</w:t>
      </w:r>
    </w:p>
    <w:p>
      <w:pPr>
        <w:rPr>
          <w:rFonts w:hint="eastAsia" w:ascii="微软雅黑" w:hAnsi="微软雅黑" w:eastAsia="微软雅黑" w:cs="微软雅黑"/>
          <w:sz w:val="28"/>
          <w:szCs w:val="28"/>
        </w:rPr>
      </w:pPr>
    </w:p>
    <w:p>
      <w:pPr>
        <w:pStyle w:val="5"/>
        <w:numPr>
          <w:ilvl w:val="0"/>
          <w:numId w:val="1"/>
        </w:numPr>
        <w:ind w:left="0" w:leftChars="0" w:firstLine="0" w:firstLineChars="0"/>
        <w:rPr>
          <w:rFonts w:hint="eastAsia" w:ascii="微软雅黑" w:hAnsi="微软雅黑" w:eastAsia="微软雅黑" w:cs="微软雅黑"/>
          <w:b w:val="0"/>
          <w:bCs w:val="0"/>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项目概况：</w:t>
      </w:r>
    </w:p>
    <w:p>
      <w:pPr>
        <w:pStyle w:val="5"/>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微软雅黑" w:hAnsi="微软雅黑" w:eastAsia="微软雅黑" w:cs="微软雅黑"/>
          <w:b w:val="0"/>
          <w:bCs w:val="0"/>
          <w:kern w:val="0"/>
          <w:sz w:val="28"/>
          <w:szCs w:val="28"/>
          <w:lang w:val="en-US" w:eastAsia="zh-CN" w:bidi="ar-SA"/>
        </w:rPr>
      </w:pPr>
      <w:r>
        <w:rPr>
          <w:rFonts w:hint="eastAsia" w:ascii="微软雅黑" w:hAnsi="微软雅黑" w:eastAsia="微软雅黑" w:cs="微软雅黑"/>
          <w:b w:val="0"/>
          <w:bCs w:val="0"/>
          <w:kern w:val="0"/>
          <w:sz w:val="28"/>
          <w:szCs w:val="28"/>
          <w:lang w:val="en-US" w:eastAsia="zh-CN" w:bidi="ar-SA"/>
        </w:rPr>
        <w:t>1、名词解释：</w:t>
      </w:r>
    </w:p>
    <w:p>
      <w:pPr>
        <w:pStyle w:val="5"/>
        <w:numPr>
          <w:ilvl w:val="0"/>
          <w:numId w:val="0"/>
        </w:numPr>
        <w:ind w:firstLine="840" w:firstLineChars="300"/>
        <w:rPr>
          <w:rFonts w:hint="eastAsia" w:ascii="微软雅黑" w:hAnsi="微软雅黑" w:eastAsia="微软雅黑" w:cs="微软雅黑"/>
          <w:b w:val="0"/>
          <w:bCs w:val="0"/>
          <w:kern w:val="0"/>
          <w:sz w:val="28"/>
          <w:szCs w:val="28"/>
          <w:lang w:val="en-US" w:eastAsia="zh-CN" w:bidi="ar-SA"/>
        </w:rPr>
      </w:pPr>
      <w:r>
        <w:rPr>
          <w:rFonts w:hint="eastAsia" w:ascii="微软雅黑" w:hAnsi="微软雅黑" w:eastAsia="微软雅黑" w:cs="微软雅黑"/>
          <w:b w:val="0"/>
          <w:bCs w:val="0"/>
          <w:kern w:val="0"/>
          <w:sz w:val="28"/>
          <w:szCs w:val="28"/>
          <w:lang w:val="en-US" w:eastAsia="zh-CN" w:bidi="ar-SA"/>
        </w:rPr>
        <w:t>甲方：英德市人民医院</w:t>
      </w:r>
    </w:p>
    <w:p>
      <w:pPr>
        <w:pStyle w:val="5"/>
        <w:numPr>
          <w:ilvl w:val="0"/>
          <w:numId w:val="0"/>
        </w:numPr>
        <w:ind w:firstLine="840" w:firstLineChars="300"/>
        <w:rPr>
          <w:rFonts w:hint="eastAsia" w:ascii="微软雅黑" w:hAnsi="微软雅黑" w:eastAsia="微软雅黑" w:cs="微软雅黑"/>
          <w:b w:val="0"/>
          <w:bCs w:val="0"/>
          <w:kern w:val="0"/>
          <w:sz w:val="28"/>
          <w:szCs w:val="28"/>
          <w:lang w:val="en-US" w:eastAsia="zh-CN" w:bidi="ar-SA"/>
        </w:rPr>
      </w:pPr>
      <w:r>
        <w:rPr>
          <w:rFonts w:hint="eastAsia" w:ascii="微软雅黑" w:hAnsi="微软雅黑" w:eastAsia="微软雅黑" w:cs="微软雅黑"/>
          <w:b w:val="0"/>
          <w:bCs w:val="0"/>
          <w:kern w:val="0"/>
          <w:sz w:val="28"/>
          <w:szCs w:val="28"/>
          <w:lang w:val="en-US" w:eastAsia="zh-CN" w:bidi="ar-SA"/>
        </w:rPr>
        <w:t>乙方：提交项目报价的供应商</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b w:val="0"/>
          <w:bCs w:val="0"/>
          <w:kern w:val="0"/>
          <w:sz w:val="28"/>
          <w:szCs w:val="28"/>
          <w:lang w:val="en-US" w:eastAsia="zh-CN" w:bidi="ar-SA"/>
        </w:rPr>
        <w:t>2、项目内容</w:t>
      </w:r>
      <w:r>
        <w:rPr>
          <w:rFonts w:hint="eastAsia" w:ascii="微软雅黑" w:hAnsi="微软雅黑" w:eastAsia="微软雅黑" w:cs="微软雅黑"/>
          <w:b/>
          <w:bCs/>
          <w:kern w:val="0"/>
          <w:sz w:val="28"/>
          <w:szCs w:val="28"/>
          <w:lang w:val="en-US" w:eastAsia="zh-CN" w:bidi="ar-SA"/>
        </w:rPr>
        <w:t>：</w:t>
      </w:r>
    </w:p>
    <w:p>
      <w:pPr>
        <w:pStyle w:val="2"/>
        <w:keepNext w:val="0"/>
        <w:keepLines w:val="0"/>
        <w:pageBreakBefore w:val="0"/>
        <w:widowControl w:val="0"/>
        <w:tabs>
          <w:tab w:val="left" w:pos="7980"/>
          <w:tab w:val="left" w:pos="9040"/>
        </w:tabs>
        <w:kinsoku/>
        <w:wordWrap/>
        <w:overflowPunct/>
        <w:topLinePunct w:val="0"/>
        <w:autoSpaceDE/>
        <w:autoSpaceDN/>
        <w:bidi w:val="0"/>
        <w:adjustRightInd/>
        <w:snapToGrid/>
        <w:spacing w:before="69" w:line="360" w:lineRule="auto"/>
        <w:ind w:right="28" w:rightChars="0"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我院现有救护车13辆、采血车1辆、体检车1辆、行政用车1辆、货车1辆，共17辆。维修服务内容包含：相应车型的大修、各级维护、小修、中修、维修救援、维修竣工检验工作和交通事故车辆维修等有关项目的服务。服务</w:t>
      </w:r>
      <w:r>
        <w:rPr>
          <w:rFonts w:hint="eastAsia" w:ascii="微软雅黑" w:hAnsi="微软雅黑" w:eastAsia="微软雅黑" w:cs="微软雅黑"/>
          <w:b w:val="0"/>
          <w:bCs w:val="0"/>
          <w:kern w:val="0"/>
          <w:sz w:val="28"/>
          <w:szCs w:val="28"/>
          <w:lang w:val="en-US" w:eastAsia="zh-CN" w:bidi="ar-SA"/>
        </w:rPr>
        <w:t>期限为合同签订之日起1年</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kern w:val="0"/>
          <w:sz w:val="28"/>
          <w:szCs w:val="28"/>
          <w:lang w:val="en-US" w:eastAsia="zh-CN" w:bidi="ar-SA"/>
        </w:rPr>
        <w:t>项目预算金额上限35万元。</w:t>
      </w:r>
    </w:p>
    <w:tbl>
      <w:tblPr>
        <w:tblStyle w:val="3"/>
        <w:tblW w:w="9180" w:type="dxa"/>
        <w:tblInd w:w="0" w:type="dxa"/>
        <w:shd w:val="clear" w:color="auto" w:fill="FFFFFF"/>
        <w:tblLayout w:type="autofit"/>
        <w:tblCellMar>
          <w:top w:w="0" w:type="dxa"/>
          <w:left w:w="0" w:type="dxa"/>
          <w:bottom w:w="0" w:type="dxa"/>
          <w:right w:w="0" w:type="dxa"/>
        </w:tblCellMar>
      </w:tblPr>
      <w:tblGrid>
        <w:gridCol w:w="612"/>
        <w:gridCol w:w="3285"/>
        <w:gridCol w:w="2552"/>
        <w:gridCol w:w="2023"/>
        <w:gridCol w:w="708"/>
      </w:tblGrid>
      <w:tr>
        <w:tblPrEx>
          <w:shd w:val="clear" w:color="auto" w:fill="FFFFFF"/>
          <w:tblCellMar>
            <w:top w:w="0" w:type="dxa"/>
            <w:left w:w="0" w:type="dxa"/>
            <w:bottom w:w="0" w:type="dxa"/>
            <w:right w:w="0" w:type="dxa"/>
          </w:tblCellMar>
        </w:tblPrEx>
        <w:trPr>
          <w:trHeight w:val="548" w:hRule="atLeast"/>
        </w:trPr>
        <w:tc>
          <w:tcPr>
            <w:tcW w:w="9180" w:type="dxa"/>
            <w:gridSpan w:val="5"/>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b/>
                <w:bCs/>
                <w:color w:val="000000" w:themeColor="text1"/>
                <w:kern w:val="0"/>
                <w:sz w:val="24"/>
                <w14:textFill>
                  <w14:solidFill>
                    <w14:schemeClr w14:val="tx1"/>
                  </w14:solidFill>
                </w14:textFill>
              </w:rPr>
            </w:pPr>
            <w:r>
              <w:rPr>
                <w:rFonts w:hint="eastAsia" w:ascii="微软雅黑" w:hAnsi="微软雅黑" w:eastAsia="微软雅黑" w:cs="微软雅黑"/>
                <w:b/>
                <w:bCs/>
                <w:color w:val="000000" w:themeColor="text1"/>
                <w:kern w:val="0"/>
                <w:sz w:val="24"/>
                <w14:textFill>
                  <w14:solidFill>
                    <w14:schemeClr w14:val="tx1"/>
                  </w14:solidFill>
                </w14:textFill>
              </w:rPr>
              <w:t>车辆品牌型号表</w:t>
            </w:r>
          </w:p>
        </w:tc>
      </w:tr>
      <w:tr>
        <w:tblPrEx>
          <w:shd w:val="clear" w:color="auto" w:fill="FFFFFF"/>
          <w:tblCellMar>
            <w:top w:w="0" w:type="dxa"/>
            <w:left w:w="0" w:type="dxa"/>
            <w:bottom w:w="0" w:type="dxa"/>
            <w:right w:w="0" w:type="dxa"/>
          </w:tblCellMar>
        </w:tblPrEx>
        <w:trPr>
          <w:trHeight w:val="28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序号</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品牌型号</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类别/座位</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登记时间</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数量</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1</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宇通牌ZK5041XJH36</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小型专用客车9座（救护车）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2020-8-5</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福田牌BJ5039XJH-C5</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小型专用客车6座（救护车）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2018-1-9</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3</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宇通牌ZK5156XYL5</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大型专用客车13座（体检车）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2018-8-27</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4</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上元牌GDY5032XJHL</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2018-5-17</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2</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5</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江铃牌JX5044XXYXSCG2</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轻型厢式货车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2021-6-30</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6</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程力牌CL5032XJH6YS</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2022-12-21</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2</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7</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上元牌GDY5043XJHV5</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2018-5-17</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8</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tabs>
                <w:tab w:val="left" w:pos="864"/>
              </w:tabs>
              <w:jc w:val="center"/>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上元牌GDY5038XJHF6</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2018-5-29</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9</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宇通牌ZK5118XYL</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大型专用客车23座（采血车）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2012-9-14</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10</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培新牌XH5036XJH4J1</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2013-1-23</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11</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丰田牌GTM6480AS</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小型普通客车5座</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2009-12-10</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12</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北地牌ND5040XJH-F5</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2017-5-23</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13</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西北牌XB5040XJH5M</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小型专用客车7座（救护车）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2017-8-16</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14</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江特牌JDF5033XJHJ6</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小型专用客车8座（救护车）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2024-3-26</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12"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15</w:t>
            </w:r>
          </w:p>
        </w:tc>
        <w:tc>
          <w:tcPr>
            <w:tcW w:w="328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大通牌JDF5033XJHJ6</w:t>
            </w:r>
          </w:p>
        </w:tc>
        <w:tc>
          <w:tcPr>
            <w:tcW w:w="2552"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18"/>
                <w:szCs w:val="1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lang w:val="en-US" w:eastAsia="zh-CN"/>
                <w14:textFill>
                  <w14:solidFill>
                    <w14:schemeClr w14:val="tx1"/>
                  </w14:solidFill>
                </w14:textFill>
              </w:rPr>
              <w:t>小型专用客车8座（救护车）</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default" w:ascii="微软雅黑" w:hAnsi="微软雅黑" w:eastAsia="微软雅黑" w:cs="微软雅黑"/>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2024-1-17</w:t>
            </w: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1</w:t>
            </w:r>
          </w:p>
        </w:tc>
      </w:tr>
      <w:tr>
        <w:tblPrEx>
          <w:shd w:val="clear" w:color="auto" w:fill="FFFFFF"/>
          <w:tblCellMar>
            <w:top w:w="0" w:type="dxa"/>
            <w:left w:w="0" w:type="dxa"/>
            <w:bottom w:w="0" w:type="dxa"/>
            <w:right w:w="0" w:type="dxa"/>
          </w:tblCellMar>
        </w:tblPrEx>
        <w:trPr>
          <w:trHeight w:val="545" w:hRule="atLeast"/>
        </w:trPr>
        <w:tc>
          <w:tcPr>
            <w:tcW w:w="6449"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r>
              <w:rPr>
                <w:rFonts w:hint="eastAsia" w:ascii="微软雅黑" w:hAnsi="微软雅黑" w:eastAsia="微软雅黑" w:cs="微软雅黑"/>
                <w:color w:val="000000" w:themeColor="text1"/>
                <w:kern w:val="0"/>
                <w:sz w:val="24"/>
                <w14:textFill>
                  <w14:solidFill>
                    <w14:schemeClr w14:val="tx1"/>
                  </w14:solidFill>
                </w14:textFill>
              </w:rPr>
              <w:t>合计</w:t>
            </w:r>
          </w:p>
        </w:tc>
        <w:tc>
          <w:tcPr>
            <w:tcW w:w="20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微软雅黑" w:hAnsi="微软雅黑" w:eastAsia="微软雅黑" w:cs="微软雅黑"/>
                <w:color w:val="000000" w:themeColor="text1"/>
                <w:kern w:val="0"/>
                <w:sz w:val="24"/>
                <w14:textFill>
                  <w14:solidFill>
                    <w14:schemeClr w14:val="tx1"/>
                  </w14:solidFill>
                </w14:textFill>
              </w:rPr>
            </w:pPr>
          </w:p>
        </w:tc>
        <w:tc>
          <w:tcPr>
            <w:tcW w:w="708" w:type="dxa"/>
            <w:tcBorders>
              <w:top w:val="nil"/>
              <w:left w:val="nil"/>
              <w:bottom w:val="single" w:color="auto" w:sz="8" w:space="0"/>
              <w:right w:val="single" w:color="auto" w:sz="8" w:space="0"/>
            </w:tcBorders>
            <w:shd w:val="clear" w:color="auto" w:fill="FFFFFF"/>
            <w:vAlign w:val="center"/>
          </w:tcPr>
          <w:p>
            <w:pPr>
              <w:widowControl/>
              <w:jc w:val="center"/>
              <w:rPr>
                <w:rFonts w:hint="eastAsia" w:ascii="微软雅黑" w:hAnsi="微软雅黑" w:eastAsia="微软雅黑" w:cs="微软雅黑"/>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17</w:t>
            </w:r>
          </w:p>
        </w:tc>
      </w:tr>
    </w:tbl>
    <w:p>
      <w:pPr>
        <w:pStyle w:val="2"/>
        <w:keepNext w:val="0"/>
        <w:keepLines w:val="0"/>
        <w:pageBreakBefore w:val="0"/>
        <w:widowControl w:val="0"/>
        <w:tabs>
          <w:tab w:val="left" w:pos="7980"/>
          <w:tab w:val="left" w:pos="9040"/>
        </w:tabs>
        <w:kinsoku/>
        <w:wordWrap/>
        <w:overflowPunct/>
        <w:topLinePunct w:val="0"/>
        <w:autoSpaceDE/>
        <w:autoSpaceDN/>
        <w:bidi w:val="0"/>
        <w:adjustRightInd/>
        <w:snapToGrid/>
        <w:spacing w:before="69" w:line="360" w:lineRule="auto"/>
        <w:ind w:right="30" w:rightChars="0"/>
        <w:textAlignment w:val="auto"/>
        <w:rPr>
          <w:rFonts w:hint="eastAsia" w:ascii="微软雅黑" w:hAnsi="微软雅黑" w:eastAsia="微软雅黑" w:cs="微软雅黑"/>
          <w:kern w:val="0"/>
          <w:sz w:val="28"/>
          <w:szCs w:val="28"/>
          <w:lang w:val="en-US" w:eastAsia="zh-CN" w:bidi="ar-SA"/>
        </w:rPr>
      </w:pPr>
    </w:p>
    <w:p>
      <w:pPr>
        <w:pStyle w:val="5"/>
        <w:numPr>
          <w:ilvl w:val="0"/>
          <w:numId w:val="0"/>
        </w:numPr>
        <w:ind w:leftChars="0" w:firstLine="560" w:firstLineChars="200"/>
        <w:rPr>
          <w:rFonts w:hint="eastAsia" w:ascii="微软雅黑" w:hAnsi="微软雅黑" w:eastAsia="微软雅黑" w:cs="微软雅黑"/>
          <w:b/>
          <w:bCs/>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二、供应商资质要求</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 xml:space="preserve">1.供应商应为具有独立承担民事责任能力的在中华人民共和国境内注册的法人企业，营业执照合格有效。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 xml:space="preserve">2.单位负责人为同一或者存在控股、管理关系的不同单位，不得参加同一采购项目报价(供应商出具声明函)。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 xml:space="preserve">3.供应商需提供参加本次采购活动前3年内在经营活动中没有重大违法记录的书面声明。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 xml:space="preserve">4.本项目不接受联合供应商报价，不接受供应商项目分包、转包、挂靠。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default" w:ascii="微软雅黑" w:hAnsi="微软雅黑" w:eastAsia="微软雅黑" w:cs="微软雅黑"/>
          <w:kern w:val="0"/>
          <w:sz w:val="28"/>
          <w:szCs w:val="28"/>
          <w:highlight w:val="none"/>
          <w:lang w:val="en-US" w:eastAsia="zh-CN" w:bidi="ar-SA"/>
        </w:rPr>
      </w:pPr>
      <w:r>
        <w:rPr>
          <w:rFonts w:hint="eastAsia" w:ascii="微软雅黑" w:hAnsi="微软雅黑" w:eastAsia="微软雅黑" w:cs="微软雅黑"/>
          <w:kern w:val="0"/>
          <w:sz w:val="28"/>
          <w:szCs w:val="28"/>
          <w:highlight w:val="none"/>
          <w:lang w:val="en-US" w:eastAsia="zh-CN" w:bidi="ar-SA"/>
        </w:rPr>
        <w:t>5.供应商具有交通运输管理部门审核通过的《机动车维修经营备案表》，包含企业相关信息、备案有效期、经营范围（二类或一类机动车维修）等内容，维修</w:t>
      </w:r>
      <w:bookmarkStart w:id="4" w:name="_GoBack"/>
      <w:bookmarkEnd w:id="4"/>
      <w:r>
        <w:rPr>
          <w:rFonts w:hint="eastAsia" w:ascii="微软雅黑" w:hAnsi="微软雅黑" w:eastAsia="微软雅黑" w:cs="微软雅黑"/>
          <w:kern w:val="0"/>
          <w:sz w:val="28"/>
          <w:szCs w:val="28"/>
          <w:highlight w:val="none"/>
          <w:lang w:val="en-US" w:eastAsia="zh-CN" w:bidi="ar-SA"/>
        </w:rPr>
        <w:t>资质二类及二类以上。</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560" w:firstLineChars="200"/>
        <w:jc w:val="left"/>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8"/>
          <w:szCs w:val="28"/>
          <w:highlight w:val="none"/>
          <w:lang w:val="en-US" w:eastAsia="zh-CN"/>
        </w:rPr>
        <w:t>6.</w:t>
      </w:r>
      <w:r>
        <w:rPr>
          <w:rFonts w:hint="eastAsia" w:ascii="微软雅黑" w:hAnsi="微软雅黑" w:eastAsia="微软雅黑" w:cs="微软雅黑"/>
          <w:kern w:val="0"/>
          <w:sz w:val="28"/>
          <w:szCs w:val="28"/>
          <w:highlight w:val="none"/>
          <w:lang w:val="en-US" w:eastAsia="zh-CN" w:bidi="ar-SA"/>
        </w:rPr>
        <w:t>供应商厂房地点必须在英德市区内，厂房离医院的距离近，对医院的需求能够及时响应，保证能实施24小时拯救服务。</w:t>
      </w:r>
    </w:p>
    <w:p>
      <w:pPr>
        <w:pStyle w:val="5"/>
        <w:numPr>
          <w:ilvl w:val="0"/>
          <w:numId w:val="0"/>
        </w:numPr>
        <w:tabs>
          <w:tab w:val="left" w:pos="180"/>
        </w:tabs>
        <w:ind w:leftChars="0" w:firstLine="560" w:firstLineChars="200"/>
        <w:rPr>
          <w:rFonts w:hint="eastAsia" w:ascii="微软雅黑" w:hAnsi="微软雅黑" w:eastAsia="微软雅黑" w:cs="微软雅黑"/>
          <w:b/>
          <w:bCs/>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三、产品及服务质量要求</w:t>
      </w:r>
    </w:p>
    <w:p>
      <w:pPr>
        <w:pStyle w:val="5"/>
        <w:numPr>
          <w:ilvl w:val="0"/>
          <w:numId w:val="0"/>
        </w:numPr>
        <w:tabs>
          <w:tab w:val="left" w:pos="180"/>
        </w:tabs>
        <w:ind w:leftChars="0" w:firstLine="560" w:firstLineChars="200"/>
        <w:rPr>
          <w:rFonts w:hint="eastAsia" w:ascii="微软雅黑" w:hAnsi="微软雅黑" w:eastAsia="微软雅黑" w:cs="微软雅黑"/>
          <w:b/>
          <w:bCs/>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（一）质量要求：</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各项质量、技术要求符合汽车维修技术国家标准和行业标准以及汽车维修相关标准。</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乙方所采用的零部件、配件等材料必须使用原厂正货(如使用非原厂正货须经采购人同意)，不得使用假冒伪劣产品，不得以次充好，不得以旧顶新。</w:t>
      </w:r>
    </w:p>
    <w:p>
      <w:pPr>
        <w:pStyle w:val="5"/>
        <w:numPr>
          <w:ilvl w:val="0"/>
          <w:numId w:val="0"/>
        </w:numPr>
        <w:tabs>
          <w:tab w:val="left" w:pos="180"/>
        </w:tabs>
        <w:ind w:leftChars="0" w:firstLine="560" w:firstLineChars="200"/>
        <w:rPr>
          <w:rFonts w:hint="eastAsia" w:ascii="微软雅黑" w:hAnsi="微软雅黑" w:eastAsia="微软雅黑" w:cs="微软雅黑"/>
          <w:b/>
          <w:bCs/>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（二）服务要求：</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1、甲方送故障的车辆到乙方进行维修，乙方对甲方所送修的车辆进行详细的登记和检验。</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3、车辆经检验之后，乙方对车辆制定具体维修方案和报价（包括工时费和材料费），并及时通知甲方，待甲方确认后才予以维修，否则甲方有权拒绝支付未确认之维修项目所发生的费用。</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4、为了保证维修质量，乙方保证使用质量合格的零配件，（包括经甲方同意使用的原厂及非原厂零配件）并按不同的零配件提供维修规定范围的质量保证期限。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5、更换的零配件来源要合法合规，产品要合格、不能假冒伪劣产品或以次充好。配件质量：必须用原厂全新配件，不得使用假冒伪劣配件;如有必要，应按采购人意见购买配件；如采购人需要，配件包装及合格证应提供给采购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6、乙方接受委托维修时，维修项目和维修费用(工时费和材料费)都必须是采购人签名认可的，成交供应商在标价及结算申请维修费时，应编制维修工时明细表，具体维修项目表述必须按照《广东省2015公务车维修项目工时费报价明细表》中列明的项目进行表述，如无对应，应与采购人协商确定名称及价格后方可结算，确保采购人对维修内容及其细节的知情权。检验人员必须在现场对车辆进行诊断，初步确定维修项目，并要充分征求采购人的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7、业务员制作估价单后，应详细向采购人说明维修的项目、作业的内容配件的来源渠道及价格、维修时间和维修费用。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8、增加维修项目或增加换件时，应事先通知甲方，得到同意后才进行维修。成交供应商要严格按照交车时限来安排生产,不能在</w:t>
      </w:r>
      <w:r>
        <w:rPr>
          <w:rFonts w:hint="eastAsia" w:ascii="微软雅黑" w:hAnsi="微软雅黑" w:eastAsia="微软雅黑" w:cs="微软雅黑"/>
          <w:sz w:val="24"/>
          <w:szCs w:val="24"/>
          <w:lang w:val="en-US" w:eastAsia="zh-CN"/>
        </w:rPr>
        <w:t>规定</w:t>
      </w:r>
      <w:r>
        <w:rPr>
          <w:rFonts w:hint="eastAsia" w:ascii="微软雅黑" w:hAnsi="微软雅黑" w:eastAsia="微软雅黑" w:cs="微软雅黑"/>
          <w:kern w:val="0"/>
          <w:sz w:val="28"/>
          <w:szCs w:val="28"/>
          <w:lang w:val="en-US" w:eastAsia="zh-CN" w:bidi="ar-SA"/>
        </w:rPr>
        <w:t>时限内交车的要提前与采购人联系，取得采购人的同意。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9、维修人员更换配件时，应以旧件换取库房的新件，同时旧件应交库房保存，维修人员不得私自保存。车辆竣工出厂后时，旧件应归还采购人，采购人不需要时，按维修企业的制度处理。</w:t>
      </w:r>
    </w:p>
    <w:p>
      <w:pPr>
        <w:pStyle w:val="5"/>
        <w:keepNext w:val="0"/>
        <w:keepLines w:val="0"/>
        <w:pageBreakBefore w:val="0"/>
        <w:widowControl w:val="0"/>
        <w:numPr>
          <w:ilvl w:val="0"/>
          <w:numId w:val="0"/>
        </w:numPr>
        <w:tabs>
          <w:tab w:val="left" w:pos="180"/>
        </w:tabs>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10、维修完毕的车辆，乙方负责该车辆出厂前后的清洁工作并建立档案。乙方将定期对车辆进行跟踪服务且对所维修项目按国家有关行业规定进行，原则上：整车大修和总成大修保修期为三个月（或10000公里），二级维护、中修保修期为7天（或1000公里），一级维护、小修保修期为4天内（或200公里），喷漆、补漆质量期180天以上。如维修项目在保修期内出现问题或故障供应商承担责任，免费保修（包括工时、材料）；若因甲方客观使用不当或人为意外等造成的损失，供应商不予保修。</w:t>
      </w:r>
    </w:p>
    <w:p>
      <w:pPr>
        <w:pStyle w:val="5"/>
        <w:numPr>
          <w:ilvl w:val="0"/>
          <w:numId w:val="0"/>
        </w:numPr>
        <w:tabs>
          <w:tab w:val="left" w:pos="180"/>
        </w:tabs>
        <w:ind w:leftChars="0" w:firstLine="560" w:firstLineChars="200"/>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11、甲方留厂检修车辆，乙方不得擅自驾驶上路或挪作它用。</w:t>
      </w:r>
    </w:p>
    <w:p>
      <w:pPr>
        <w:spacing w:line="360" w:lineRule="auto"/>
        <w:ind w:firstLine="560" w:firstLineChars="200"/>
        <w:jc w:val="left"/>
        <w:outlineLvl w:val="1"/>
        <w:rPr>
          <w:rFonts w:hint="eastAsia" w:ascii="微软雅黑" w:hAnsi="微软雅黑" w:eastAsia="微软雅黑" w:cs="微软雅黑"/>
          <w:b/>
          <w:bCs/>
          <w:kern w:val="0"/>
          <w:sz w:val="28"/>
          <w:szCs w:val="28"/>
          <w:lang w:val="en-US" w:eastAsia="zh-CN" w:bidi="ar-SA"/>
        </w:rPr>
      </w:pPr>
      <w:r>
        <w:rPr>
          <w:rFonts w:hint="eastAsia" w:ascii="微软雅黑" w:hAnsi="微软雅黑" w:eastAsia="微软雅黑" w:cs="微软雅黑"/>
          <w:b/>
          <w:bCs/>
          <w:kern w:val="0"/>
          <w:sz w:val="28"/>
          <w:szCs w:val="28"/>
          <w:lang w:val="en-US" w:eastAsia="zh-CN" w:bidi="ar-SA"/>
        </w:rPr>
        <w:t>四、报价要求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1)公务用车维修费用包括:工时费、零配件费。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2)工时费=基准价x折扣率。工时费包括一、二级维护、小修、大修及总成修理等的工时费，维修项目工时费基准价根据附件:《广东省2015公务车维修项目工时费报价明细表》执行。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3)零配件费=零配件进货价格+附加管理费。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①零配件进货价格应当做到公开、透明、真实。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kern w:val="0"/>
          <w:sz w:val="28"/>
          <w:szCs w:val="28"/>
          <w:highlight w:val="none"/>
          <w:lang w:val="en-US" w:eastAsia="zh-CN" w:bidi="ar-SA"/>
        </w:rPr>
      </w:pPr>
      <w:r>
        <w:rPr>
          <w:rFonts w:hint="eastAsia" w:ascii="微软雅黑" w:hAnsi="微软雅黑" w:eastAsia="微软雅黑" w:cs="微软雅黑"/>
          <w:kern w:val="0"/>
          <w:sz w:val="28"/>
          <w:szCs w:val="28"/>
          <w:lang w:val="en-US" w:eastAsia="zh-CN" w:bidi="ar-SA"/>
        </w:rPr>
        <w:t>②附加管理费=零配件进货价格x附加管理费收费比例。附加管理费是指投标人在零配件进货价的基础上，向送修单位按一定比例收取的管理费，包括了税费和利润等。</w:t>
      </w:r>
      <w:r>
        <w:rPr>
          <w:rFonts w:hint="eastAsia" w:ascii="微软雅黑" w:hAnsi="微软雅黑" w:eastAsia="微软雅黑" w:cs="微软雅黑"/>
          <w:kern w:val="0"/>
          <w:sz w:val="28"/>
          <w:szCs w:val="28"/>
          <w:highlight w:val="none"/>
          <w:lang w:val="en-US" w:eastAsia="zh-CN" w:bidi="ar-SA"/>
        </w:rPr>
        <w:t>附加管理费比例由供应商在投标时进行报价。</w:t>
      </w:r>
      <w:r>
        <w:rPr>
          <w:rFonts w:hint="eastAsia" w:ascii="微软雅黑" w:hAnsi="微软雅黑" w:eastAsia="微软雅黑" w:cs="微软雅黑"/>
          <w:kern w:val="0"/>
          <w:sz w:val="28"/>
          <w:szCs w:val="28"/>
          <w:lang w:val="en-US" w:eastAsia="zh-CN" w:bidi="ar-SA"/>
        </w:rPr>
        <w:t>附加管理费收费比例≤20%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4）维修收费计价公式：维修费总金额=维修工时费+零配件费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①维修工时费＝维修工时费收费基准价×折扣率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②零配件费＝零配件进货价格＋附加管理费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5)供应商需承诺成交后提供零配件进货原始单据。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6)上述报价均应包含国家规定的税费。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7)中标供应商应当设立结算帐户与采购人就维修款进行结算，并提供发票和维修明细清单。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kern w:val="0"/>
          <w:sz w:val="28"/>
          <w:szCs w:val="28"/>
          <w:lang w:val="en-US" w:eastAsia="zh-CN" w:bidi="ar-SA"/>
        </w:rPr>
      </w:pPr>
      <w:r>
        <w:rPr>
          <w:rFonts w:hint="eastAsia" w:ascii="微软雅黑" w:hAnsi="微软雅黑" w:eastAsia="微软雅黑" w:cs="微软雅黑"/>
          <w:kern w:val="0"/>
          <w:sz w:val="28"/>
          <w:szCs w:val="28"/>
          <w:lang w:val="en-US" w:eastAsia="zh-CN" w:bidi="ar-SA"/>
        </w:rPr>
        <w:t>8)供应商报价要求为工时费折扣率，附加管理费收费比例。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b/>
          <w:color w:val="000000" w:themeColor="text1"/>
          <w:sz w:val="28"/>
          <w:szCs w:val="28"/>
          <w:lang w:eastAsia="zh-CN"/>
          <w14:textFill>
            <w14:solidFill>
              <w14:schemeClr w14:val="tx1"/>
            </w14:solidFill>
          </w14:textFill>
        </w:rPr>
      </w:pPr>
      <w:r>
        <w:rPr>
          <w:rFonts w:hint="eastAsia" w:ascii="微软雅黑" w:hAnsi="微软雅黑" w:eastAsia="微软雅黑" w:cs="微软雅黑"/>
          <w:kern w:val="0"/>
          <w:sz w:val="28"/>
          <w:szCs w:val="28"/>
          <w:lang w:val="en-US" w:eastAsia="zh-CN" w:bidi="ar-SA"/>
        </w:rPr>
        <w:t>附件：《</w:t>
      </w:r>
      <w:r>
        <w:rPr>
          <w:rFonts w:hint="eastAsia" w:ascii="宋体" w:hAnsi="宋体" w:cs="仿宋_GB2312"/>
          <w:b/>
          <w:color w:val="000000" w:themeColor="text1"/>
          <w:sz w:val="28"/>
          <w:szCs w:val="28"/>
          <w14:textFill>
            <w14:solidFill>
              <w14:schemeClr w14:val="tx1"/>
            </w14:solidFill>
          </w14:textFill>
        </w:rPr>
        <w:t>广东省</w:t>
      </w:r>
      <w:r>
        <w:rPr>
          <w:rFonts w:ascii="宋体" w:hAnsi="宋体" w:cs="仿宋_GB2312"/>
          <w:b/>
          <w:color w:val="000000" w:themeColor="text1"/>
          <w:sz w:val="28"/>
          <w:szCs w:val="28"/>
          <w14:textFill>
            <w14:solidFill>
              <w14:schemeClr w14:val="tx1"/>
            </w14:solidFill>
          </w14:textFill>
        </w:rPr>
        <w:t>2015</w:t>
      </w:r>
      <w:r>
        <w:rPr>
          <w:rFonts w:hint="eastAsia" w:ascii="宋体" w:hAnsi="宋体" w:cs="仿宋_GB2312"/>
          <w:b/>
          <w:color w:val="000000" w:themeColor="text1"/>
          <w:sz w:val="28"/>
          <w:szCs w:val="28"/>
          <w14:textFill>
            <w14:solidFill>
              <w14:schemeClr w14:val="tx1"/>
            </w14:solidFill>
          </w14:textFill>
        </w:rPr>
        <w:t>公务车维修项目工时费报价明细表</w:t>
      </w:r>
      <w:r>
        <w:rPr>
          <w:rFonts w:hint="eastAsia" w:ascii="宋体" w:hAnsi="宋体" w:cs="仿宋_GB2312"/>
          <w:b/>
          <w:color w:val="000000" w:themeColor="text1"/>
          <w:sz w:val="28"/>
          <w:szCs w:val="28"/>
          <w:lang w:eastAsia="zh-CN"/>
          <w14:textFill>
            <w14:solidFill>
              <w14:schemeClr w14:val="tx1"/>
            </w14:solidFill>
          </w14:textFill>
        </w:rPr>
        <w:t>》</w:t>
      </w:r>
    </w:p>
    <w:tbl>
      <w:tblPr>
        <w:tblStyle w:val="3"/>
        <w:tblW w:w="9570" w:type="dxa"/>
        <w:tblInd w:w="-625" w:type="dxa"/>
        <w:tblLayout w:type="fixed"/>
        <w:tblCellMar>
          <w:top w:w="0" w:type="dxa"/>
          <w:left w:w="108" w:type="dxa"/>
          <w:bottom w:w="0" w:type="dxa"/>
          <w:right w:w="108" w:type="dxa"/>
        </w:tblCellMar>
      </w:tblPr>
      <w:tblGrid>
        <w:gridCol w:w="676"/>
        <w:gridCol w:w="1004"/>
        <w:gridCol w:w="3589"/>
        <w:gridCol w:w="1418"/>
        <w:gridCol w:w="1559"/>
        <w:gridCol w:w="1324"/>
      </w:tblGrid>
      <w:tr>
        <w:tblPrEx>
          <w:tblCellMar>
            <w:top w:w="0" w:type="dxa"/>
            <w:left w:w="108" w:type="dxa"/>
            <w:bottom w:w="0" w:type="dxa"/>
            <w:right w:w="108" w:type="dxa"/>
          </w:tblCellMar>
        </w:tblPrEx>
        <w:trPr>
          <w:trHeight w:val="303" w:hRule="atLeast"/>
        </w:trPr>
        <w:tc>
          <w:tcPr>
            <w:tcW w:w="676" w:type="dxa"/>
            <w:vMerge w:val="restart"/>
            <w:tcBorders>
              <w:top w:val="single" w:color="auto" w:sz="8" w:space="0"/>
              <w:left w:val="single" w:color="auto" w:sz="8" w:space="0"/>
              <w:bottom w:val="single" w:color="000000"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1004" w:type="dxa"/>
            <w:vMerge w:val="restart"/>
            <w:tcBorders>
              <w:top w:val="single" w:color="auto" w:sz="8" w:space="0"/>
              <w:left w:val="single" w:color="auto" w:sz="8" w:space="0"/>
              <w:bottom w:val="single" w:color="000000"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589" w:type="dxa"/>
            <w:vMerge w:val="restart"/>
            <w:tcBorders>
              <w:top w:val="single" w:color="auto" w:sz="8" w:space="0"/>
              <w:left w:val="single" w:color="auto" w:sz="8" w:space="0"/>
              <w:bottom w:val="single" w:color="000000" w:sz="8" w:space="0"/>
              <w:right w:val="single" w:color="000000"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301" w:type="dxa"/>
            <w:gridSpan w:val="3"/>
            <w:tcBorders>
              <w:top w:val="single" w:color="auto" w:sz="8" w:space="0"/>
              <w:left w:val="nil"/>
              <w:bottom w:val="single" w:color="auto" w:sz="8" w:space="0"/>
              <w:right w:val="single" w:color="000000" w:sz="8" w:space="0"/>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trHeight w:val="303" w:hRule="atLeast"/>
        </w:trPr>
        <w:tc>
          <w:tcPr>
            <w:tcW w:w="676" w:type="dxa"/>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3589" w:type="dxa"/>
            <w:vMerge w:val="continue"/>
            <w:tcBorders>
              <w:top w:val="single" w:color="auto" w:sz="8" w:space="0"/>
              <w:left w:val="single" w:color="auto" w:sz="8" w:space="0"/>
              <w:bottom w:val="single" w:color="000000"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418" w:type="dxa"/>
            <w:tcBorders>
              <w:top w:val="nil"/>
              <w:left w:val="nil"/>
              <w:bottom w:val="single" w:color="auto" w:sz="8" w:space="0"/>
              <w:right w:val="single" w:color="auto" w:sz="8" w:space="0"/>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559" w:type="dxa"/>
            <w:tcBorders>
              <w:top w:val="nil"/>
              <w:left w:val="nil"/>
              <w:bottom w:val="nil"/>
              <w:right w:val="single" w:color="auto" w:sz="8" w:space="0"/>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324" w:type="dxa"/>
            <w:tcBorders>
              <w:top w:val="nil"/>
              <w:left w:val="nil"/>
              <w:bottom w:val="nil"/>
              <w:right w:val="single" w:color="auto" w:sz="8" w:space="0"/>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trHeight w:val="303" w:hRule="atLeast"/>
        </w:trPr>
        <w:tc>
          <w:tcPr>
            <w:tcW w:w="676" w:type="dxa"/>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3589" w:type="dxa"/>
            <w:vMerge w:val="continue"/>
            <w:tcBorders>
              <w:top w:val="single" w:color="auto" w:sz="8" w:space="0"/>
              <w:left w:val="single" w:color="auto" w:sz="8" w:space="0"/>
              <w:bottom w:val="single" w:color="000000"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418" w:type="dxa"/>
            <w:tcBorders>
              <w:top w:val="nil"/>
              <w:left w:val="nil"/>
              <w:bottom w:val="nil"/>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559" w:type="dxa"/>
            <w:tcBorders>
              <w:top w:val="single" w:color="auto" w:sz="8" w:space="0"/>
              <w:left w:val="single" w:color="auto" w:sz="8" w:space="0"/>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32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trHeight w:val="303" w:hRule="atLeast"/>
        </w:trPr>
        <w:tc>
          <w:tcPr>
            <w:tcW w:w="676" w:type="dxa"/>
            <w:vMerge w:val="restart"/>
            <w:tcBorders>
              <w:top w:val="nil"/>
              <w:left w:val="single" w:color="auto" w:sz="8" w:space="0"/>
              <w:bottom w:val="single" w:color="000000"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整车保养项目①</w:t>
            </w: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一级维护</w:t>
            </w:r>
          </w:p>
        </w:tc>
        <w:tc>
          <w:tcPr>
            <w:tcW w:w="1418" w:type="dxa"/>
            <w:tcBorders>
              <w:top w:val="single" w:color="auto" w:sz="8" w:space="0"/>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trHeight w:val="576"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二级维护</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470"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103</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新车1000KM保养、5000KM保养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trHeight w:val="591"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104</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10000公里（包含15000、25000、35000、45000、55000公里）</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470"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30000公里级定期保养（包含9000公里级）</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20000公里级定期保养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107</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40000公里级定期保养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108</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60000公里级定期保养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109</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10万公里级定期保养</w:t>
            </w:r>
          </w:p>
        </w:tc>
        <w:tc>
          <w:tcPr>
            <w:tcW w:w="1418" w:type="dxa"/>
            <w:tcBorders>
              <w:top w:val="nil"/>
              <w:left w:val="nil"/>
              <w:bottom w:val="nil"/>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发动机，底盘一保</w:t>
            </w:r>
          </w:p>
        </w:tc>
        <w:tc>
          <w:tcPr>
            <w:tcW w:w="1418" w:type="dxa"/>
            <w:tcBorders>
              <w:top w:val="single" w:color="auto" w:sz="8" w:space="0"/>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发动机，底盘二保</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更换机油，机油滤清器</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更换波箱油</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整车美容护理</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整车大修</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116</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150000公里全车保养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117</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大修发动机附离合器</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118</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119</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底盘中修</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底盘大修</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p>
        </w:tc>
        <w:tc>
          <w:tcPr>
            <w:tcW w:w="3589" w:type="dxa"/>
            <w:tcBorders>
              <w:top w:val="single" w:color="auto" w:sz="8" w:space="0"/>
              <w:left w:val="single" w:color="auto" w:sz="8" w:space="0"/>
              <w:bottom w:val="single" w:color="auto"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整车中修</w:t>
            </w:r>
          </w:p>
        </w:tc>
        <w:tc>
          <w:tcPr>
            <w:tcW w:w="1418" w:type="dxa"/>
            <w:tcBorders>
              <w:top w:val="nil"/>
              <w:left w:val="nil"/>
              <w:bottom w:val="nil"/>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122</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保养四轮刹车</w:t>
            </w:r>
          </w:p>
        </w:tc>
        <w:tc>
          <w:tcPr>
            <w:tcW w:w="1418" w:type="dxa"/>
            <w:tcBorders>
              <w:top w:val="single" w:color="auto" w:sz="8" w:space="0"/>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123</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保养冷却系统</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124</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保养空调系统</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125</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保养方向系统</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126</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保养灯光系统</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127</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清洗发动机</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128</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清洗水箱加冷却液</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129</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传动轴保养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初驶保养</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检修电子燃油喷射</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电器系统一级维护</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trHeight w:val="288" w:hRule="atLeast"/>
        </w:trPr>
        <w:tc>
          <w:tcPr>
            <w:tcW w:w="676" w:type="dxa"/>
            <w:vMerge w:val="continue"/>
            <w:tcBorders>
              <w:top w:val="nil"/>
              <w:left w:val="single" w:color="auto" w:sz="8" w:space="0"/>
              <w:bottom w:val="single" w:color="000000" w:sz="8" w:space="0"/>
              <w:right w:val="single" w:color="auto" w:sz="8" w:space="0"/>
            </w:tcBorders>
            <w:vAlign w:val="center"/>
          </w:tcPr>
          <w:p>
            <w:pPr>
              <w:adjustRightInd w:val="0"/>
              <w:snapToGrid w:val="0"/>
              <w:rPr>
                <w:rFonts w:ascii="宋体" w:hAnsi="宋体" w:cs="宋体"/>
                <w:color w:val="000000" w:themeColor="text1"/>
                <w:szCs w:val="21"/>
                <w14:textFill>
                  <w14:solidFill>
                    <w14:schemeClr w14:val="tx1"/>
                  </w14:solidFill>
                </w14:textFill>
              </w:rPr>
            </w:pPr>
          </w:p>
        </w:tc>
        <w:tc>
          <w:tcPr>
            <w:tcW w:w="1004" w:type="dxa"/>
            <w:tcBorders>
              <w:top w:val="nil"/>
              <w:left w:val="nil"/>
              <w:bottom w:val="single" w:color="auto" w:sz="8" w:space="0"/>
              <w:right w:val="nil"/>
            </w:tcBorders>
            <w:vAlign w:val="bottom"/>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133</w:t>
            </w:r>
          </w:p>
        </w:tc>
        <w:tc>
          <w:tcPr>
            <w:tcW w:w="3589" w:type="dxa"/>
            <w:tcBorders>
              <w:top w:val="single" w:color="auto" w:sz="8" w:space="0"/>
              <w:left w:val="single" w:color="auto" w:sz="8" w:space="0"/>
              <w:bottom w:val="single" w:color="auto" w:sz="8" w:space="0"/>
              <w:right w:val="single" w:color="000000" w:sz="8" w:space="0"/>
            </w:tcBorders>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电器系统二级维护</w:t>
            </w:r>
          </w:p>
        </w:tc>
        <w:tc>
          <w:tcPr>
            <w:tcW w:w="1418"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559"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8" w:hRule="atLeast"/>
        </w:trPr>
        <w:tc>
          <w:tcPr>
            <w:tcW w:w="5269" w:type="dxa"/>
            <w:gridSpan w:val="3"/>
            <w:tcBorders>
              <w:top w:val="single" w:color="auto" w:sz="8" w:space="0"/>
              <w:left w:val="single" w:color="auto" w:sz="8" w:space="0"/>
              <w:bottom w:val="single" w:color="auto" w:sz="8" w:space="0"/>
              <w:right w:val="single" w:color="000000" w:sz="8" w:space="0"/>
            </w:tcBorders>
            <w:vAlign w:val="center"/>
          </w:tcPr>
          <w:p>
            <w:pPr>
              <w:adjustRightInd w:val="0"/>
              <w:snapToGrid w:val="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418" w:type="dxa"/>
            <w:tcBorders>
              <w:top w:val="nil"/>
              <w:left w:val="nil"/>
              <w:bottom w:val="single" w:color="auto" w:sz="8" w:space="0"/>
              <w:right w:val="nil"/>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16120</w:t>
            </w:r>
          </w:p>
        </w:tc>
        <w:tc>
          <w:tcPr>
            <w:tcW w:w="1559" w:type="dxa"/>
            <w:tcBorders>
              <w:top w:val="nil"/>
              <w:left w:val="single" w:color="auto" w:sz="8" w:space="0"/>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15230</w:t>
            </w:r>
          </w:p>
        </w:tc>
        <w:tc>
          <w:tcPr>
            <w:tcW w:w="1324" w:type="dxa"/>
            <w:tcBorders>
              <w:top w:val="nil"/>
              <w:left w:val="nil"/>
              <w:bottom w:val="single" w:color="auto" w:sz="8" w:space="0"/>
              <w:right w:val="single" w:color="auto" w:sz="8" w:space="0"/>
            </w:tcBorders>
            <w:vAlign w:val="center"/>
          </w:tcPr>
          <w:p>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12755</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b/>
          <w:color w:val="000000" w:themeColor="text1"/>
          <w:sz w:val="28"/>
          <w:szCs w:val="28"/>
          <w:lang w:val="en-US" w:eastAsia="zh-CN"/>
          <w14:textFill>
            <w14:solidFill>
              <w14:schemeClr w14:val="tx1"/>
            </w14:solidFill>
          </w14:textFill>
        </w:rPr>
      </w:pPr>
    </w:p>
    <w:tbl>
      <w:tblPr>
        <w:tblStyle w:val="3"/>
        <w:tblW w:w="10171" w:type="dxa"/>
        <w:tblInd w:w="-617" w:type="dxa"/>
        <w:tblLayout w:type="fixed"/>
        <w:tblCellMar>
          <w:top w:w="0" w:type="dxa"/>
          <w:left w:w="108" w:type="dxa"/>
          <w:bottom w:w="0" w:type="dxa"/>
          <w:right w:w="108" w:type="dxa"/>
        </w:tblCellMar>
      </w:tblPr>
      <w:tblGrid>
        <w:gridCol w:w="90"/>
        <w:gridCol w:w="336"/>
        <w:gridCol w:w="172"/>
        <w:gridCol w:w="19"/>
        <w:gridCol w:w="67"/>
        <w:gridCol w:w="4"/>
        <w:gridCol w:w="28"/>
        <w:gridCol w:w="324"/>
        <w:gridCol w:w="54"/>
        <w:gridCol w:w="77"/>
        <w:gridCol w:w="66"/>
        <w:gridCol w:w="140"/>
        <w:gridCol w:w="78"/>
        <w:gridCol w:w="71"/>
        <w:gridCol w:w="107"/>
        <w:gridCol w:w="438"/>
        <w:gridCol w:w="122"/>
        <w:gridCol w:w="2231"/>
        <w:gridCol w:w="426"/>
        <w:gridCol w:w="270"/>
        <w:gridCol w:w="11"/>
        <w:gridCol w:w="540"/>
        <w:gridCol w:w="193"/>
        <w:gridCol w:w="673"/>
        <w:gridCol w:w="54"/>
        <w:gridCol w:w="88"/>
        <w:gridCol w:w="72"/>
        <w:gridCol w:w="360"/>
        <w:gridCol w:w="553"/>
        <w:gridCol w:w="432"/>
        <w:gridCol w:w="275"/>
        <w:gridCol w:w="180"/>
        <w:gridCol w:w="913"/>
        <w:gridCol w:w="50"/>
        <w:gridCol w:w="40"/>
        <w:gridCol w:w="617"/>
      </w:tblGrid>
      <w:tr>
        <w:tblPrEx>
          <w:tblCellMar>
            <w:top w:w="0" w:type="dxa"/>
            <w:left w:w="108" w:type="dxa"/>
            <w:bottom w:w="0" w:type="dxa"/>
            <w:right w:w="108" w:type="dxa"/>
          </w:tblCellMar>
        </w:tblPrEx>
        <w:trPr>
          <w:gridAfter w:val="1"/>
          <w:wAfter w:w="617" w:type="dxa"/>
          <w:trHeight w:val="435" w:hRule="atLeast"/>
        </w:trPr>
        <w:tc>
          <w:tcPr>
            <w:tcW w:w="9554" w:type="dxa"/>
            <w:gridSpan w:val="35"/>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bookmarkStart w:id="0" w:name="RANGE!A1"/>
            <w:r>
              <w:rPr>
                <w:rFonts w:hint="eastAsia" w:ascii="宋体" w:hAnsi="宋体" w:cs="宋体"/>
                <w:b/>
                <w:bCs/>
                <w:color w:val="000000" w:themeColor="text1"/>
                <w:sz w:val="30"/>
                <w:szCs w:val="30"/>
                <w14:textFill>
                  <w14:solidFill>
                    <w14:schemeClr w14:val="tx1"/>
                  </w14:solidFill>
                </w14:textFill>
              </w:rPr>
              <w:t>维修项目报价(2)</w:t>
            </w:r>
            <w:bookmarkEnd w:id="0"/>
          </w:p>
        </w:tc>
      </w:tr>
      <w:tr>
        <w:tblPrEx>
          <w:tblCellMar>
            <w:top w:w="0" w:type="dxa"/>
            <w:left w:w="108" w:type="dxa"/>
            <w:bottom w:w="0" w:type="dxa"/>
            <w:right w:w="108" w:type="dxa"/>
          </w:tblCellMar>
        </w:tblPrEx>
        <w:trPr>
          <w:gridAfter w:val="1"/>
          <w:wAfter w:w="617" w:type="dxa"/>
          <w:trHeight w:val="210" w:hRule="atLeast"/>
        </w:trPr>
        <w:tc>
          <w:tcPr>
            <w:tcW w:w="716" w:type="dxa"/>
            <w:gridSpan w:val="7"/>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739" w:type="dxa"/>
            <w:gridSpan w:val="6"/>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665" w:type="dxa"/>
            <w:gridSpan w:val="7"/>
            <w:vMerge w:val="restart"/>
            <w:tcBorders>
              <w:top w:val="nil"/>
              <w:left w:val="single" w:color="auto" w:sz="8" w:space="0"/>
              <w:bottom w:val="single" w:color="000000" w:sz="8"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434"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gridAfter w:val="1"/>
          <w:wAfter w:w="617" w:type="dxa"/>
          <w:trHeight w:val="24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665" w:type="dxa"/>
            <w:gridSpan w:val="7"/>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45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After w:val="1"/>
          <w:wAfter w:w="617" w:type="dxa"/>
          <w:trHeight w:val="22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665" w:type="dxa"/>
            <w:gridSpan w:val="7"/>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458" w:type="dxa"/>
            <w:gridSpan w:val="5"/>
            <w:tcBorders>
              <w:top w:val="single" w:color="auto" w:sz="4" w:space="0"/>
              <w:left w:val="single" w:color="auto" w:sz="4" w:space="0"/>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After w:val="1"/>
          <w:wAfter w:w="617" w:type="dxa"/>
          <w:trHeight w:val="255" w:hRule="atLeast"/>
        </w:trPr>
        <w:tc>
          <w:tcPr>
            <w:tcW w:w="716" w:type="dxa"/>
            <w:gridSpan w:val="7"/>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发动机②</w:t>
            </w: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发动机大修</w:t>
            </w:r>
          </w:p>
        </w:tc>
        <w:tc>
          <w:tcPr>
            <w:tcW w:w="1559" w:type="dxa"/>
            <w:gridSpan w:val="6"/>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2500</w:t>
            </w:r>
          </w:p>
        </w:tc>
        <w:tc>
          <w:tcPr>
            <w:tcW w:w="1417" w:type="dxa"/>
            <w:gridSpan w:val="4"/>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吊装发动机总成</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更换发动机下挡泥板</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更换发动机左侧支承胶</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更换发动机右侧支承胶</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更换发动机后支承胶</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检修发动机油路（化油器）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清洗及调整喷油嘴（全车套）节气门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清洁发动机外表污迹</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更换喷油嘴</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检查、调整气门间隙</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更换节气门阀体</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检修发动机燃油喷射系统</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取断头螺丝</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更换汽油泵（电动泵）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更换汽油泵（机械泵）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拆装燃油箱</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拆装或更换谐振箱</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更换防冻液</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更换水泵及防冻液</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更换水箱</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更换水道闷头</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更换旁通水管</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更换上水管</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更换下水管</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更换冷却风扇马达</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拆装油底壳</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更换曲轴后油封</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更换曲轴前油封</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4"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3665" w:type="dxa"/>
            <w:gridSpan w:val="7"/>
            <w:tcBorders>
              <w:top w:val="nil"/>
              <w:left w:val="nil"/>
              <w:bottom w:val="single" w:color="auto" w:sz="4"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焊补排气管</w:t>
            </w:r>
          </w:p>
        </w:tc>
        <w:tc>
          <w:tcPr>
            <w:tcW w:w="1559" w:type="dxa"/>
            <w:gridSpan w:val="6"/>
            <w:tcBorders>
              <w:top w:val="nil"/>
              <w:left w:val="nil"/>
              <w:bottom w:val="single" w:color="auto" w:sz="4"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4"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58" w:type="dxa"/>
            <w:gridSpan w:val="5"/>
            <w:tcBorders>
              <w:top w:val="nil"/>
              <w:left w:val="nil"/>
              <w:bottom w:val="single" w:color="auto" w:sz="4"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231</w:t>
            </w:r>
          </w:p>
        </w:tc>
        <w:tc>
          <w:tcPr>
            <w:tcW w:w="3665"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补充排气管吊胶</w:t>
            </w:r>
          </w:p>
        </w:tc>
        <w:tc>
          <w:tcPr>
            <w:tcW w:w="1559"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145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232</w:t>
            </w:r>
          </w:p>
        </w:tc>
        <w:tc>
          <w:tcPr>
            <w:tcW w:w="3665" w:type="dxa"/>
            <w:gridSpan w:val="7"/>
            <w:tcBorders>
              <w:top w:val="single" w:color="auto" w:sz="4" w:space="0"/>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拆装、更换排气管前段</w:t>
            </w:r>
          </w:p>
        </w:tc>
        <w:tc>
          <w:tcPr>
            <w:tcW w:w="1559" w:type="dxa"/>
            <w:gridSpan w:val="6"/>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拆装、更换排气管第二段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拆装、更换排气管第三段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拆装、更换排气管尾段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拆装或更换空滤器总成</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更换方向机助力泵皮带</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更换发电机皮带</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更换空调皮带</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更换正时皮带，调整配气正时</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皮带张紧力调节</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更换气缸垫</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拆装气门室盖</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更换油门拉线</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废气检测</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检修起动机</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检修发电机及线路</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检查、更换分火线，分火头及分火盖</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调整点火正时</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拆装或更换分电器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更换节温器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更换节温器盖</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更换连接水管(水泵到节温器)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更换起动机总成</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保养发电机</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更换发电机总成</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更换发动机缸盖</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更换机油集滤器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更换机油泵总成</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更换曲轴皮带轮</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拆装或更换水箱、更换防冻液</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拆装处理排气管前端接口漏气</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拆装进气岐管</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拆装排气管岐管</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更换风扇偶合器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检修汽油泵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清洗燃油箱</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更换机油格</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发动机小修</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检修、调校柴油高压油泵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30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清洗曲轴箱机油集滤器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30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研磨气门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15元/支</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15元/支</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15元/支</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换发动机全套活塞环</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换连杆轴承</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检查高速连杆轴承间隙</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检修空气压缩机</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换机油感应器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检修离合器液压点泵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检修全车灯光信号 </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换曲轴前油封</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检修分电器 </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换发动机前支承垫螺栓</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换发动机后支承垫螺栓</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免拆清洗引擎油路</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检修调试高压油泵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换发动机活塞、连杆</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w:t>
            </w:r>
          </w:p>
        </w:tc>
      </w:tr>
      <w:tr>
        <w:tblPrEx>
          <w:tblCellMar>
            <w:top w:w="0" w:type="dxa"/>
            <w:left w:w="108" w:type="dxa"/>
            <w:bottom w:w="0" w:type="dxa"/>
            <w:right w:w="108" w:type="dxa"/>
          </w:tblCellMar>
        </w:tblPrEx>
        <w:trPr>
          <w:gridAfter w:val="1"/>
          <w:wAfter w:w="617" w:type="dxa"/>
          <w:trHeight w:val="213"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清洗化油器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更换正时齿轮</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发动机一级维护</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发动机二级维护</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检修汽油泵</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发动机芯速排污检验</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换机油感应器、检修油压力 </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检修气门漏气</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换柴油机气缸垫 </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换汽油机气缸垫 </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清洗更换燃油滤清器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清洁怠速控制器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更换检查电喷、水温感应器</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更换火花塞</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检修发动机漏油</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检修正时皮带异响</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检修水温高</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检修更换机油格座</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镶气门座</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35元/支</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30元/支</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30元/支</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油电路保养</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发动机电脑检测</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换发动机油</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2116</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换发动机全套活塞、连杆</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2117</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调怠速</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30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2118</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检修曲轴通风装置</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2119</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检修燃油蒸发控制装置</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2120</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清洗空气滤清器或更换滤芯</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2121</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更换油箱</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2122</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检修正时链或齿</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2123</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铲发动机积碳</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30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2124</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更换飞轮齿</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300" w:hRule="atLeast"/>
        </w:trPr>
        <w:tc>
          <w:tcPr>
            <w:tcW w:w="716"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3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2125</w:t>
            </w:r>
          </w:p>
        </w:tc>
        <w:tc>
          <w:tcPr>
            <w:tcW w:w="3665" w:type="dxa"/>
            <w:gridSpan w:val="7"/>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清洗喷嘴</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40元/支</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40元/支</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40元/支</w:t>
            </w:r>
          </w:p>
        </w:tc>
      </w:tr>
      <w:tr>
        <w:tblPrEx>
          <w:tblCellMar>
            <w:top w:w="0" w:type="dxa"/>
            <w:left w:w="108" w:type="dxa"/>
            <w:bottom w:w="0" w:type="dxa"/>
            <w:right w:w="108" w:type="dxa"/>
          </w:tblCellMar>
        </w:tblPrEx>
        <w:trPr>
          <w:gridAfter w:val="1"/>
          <w:wAfter w:w="617" w:type="dxa"/>
          <w:trHeight w:val="300" w:hRule="atLeast"/>
        </w:trPr>
        <w:tc>
          <w:tcPr>
            <w:tcW w:w="5120" w:type="dxa"/>
            <w:gridSpan w:val="20"/>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r>
              <w:rPr>
                <w:rFonts w:hint="eastAsia" w:ascii="宋体" w:hAnsi="宋体" w:cs="宋体"/>
                <w:b/>
                <w:bCs/>
                <w:color w:val="000000" w:themeColor="text1"/>
                <w:szCs w:val="21"/>
                <w14:textFill>
                  <w14:solidFill>
                    <w14:schemeClr w14:val="tx1"/>
                  </w14:solidFill>
                </w14:textFill>
              </w:rPr>
              <w:t>小计</w:t>
            </w:r>
          </w:p>
        </w:tc>
        <w:tc>
          <w:tcPr>
            <w:tcW w:w="1559" w:type="dxa"/>
            <w:gridSpan w:val="6"/>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29290</w:t>
            </w:r>
          </w:p>
        </w:tc>
        <w:tc>
          <w:tcPr>
            <w:tcW w:w="1417" w:type="dxa"/>
            <w:gridSpan w:val="4"/>
            <w:tcBorders>
              <w:top w:val="nil"/>
              <w:left w:val="single" w:color="auto" w:sz="8" w:space="0"/>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27345</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21660</w:t>
            </w:r>
          </w:p>
        </w:tc>
      </w:tr>
      <w:tr>
        <w:tblPrEx>
          <w:tblCellMar>
            <w:top w:w="0" w:type="dxa"/>
            <w:left w:w="108" w:type="dxa"/>
            <w:bottom w:w="0" w:type="dxa"/>
            <w:right w:w="108" w:type="dxa"/>
          </w:tblCellMar>
        </w:tblPrEx>
        <w:trPr>
          <w:gridAfter w:val="1"/>
          <w:wAfter w:w="617" w:type="dxa"/>
          <w:trHeight w:val="420" w:hRule="atLeast"/>
        </w:trPr>
        <w:tc>
          <w:tcPr>
            <w:tcW w:w="9554" w:type="dxa"/>
            <w:gridSpan w:val="35"/>
            <w:tcBorders>
              <w:bottom w:val="single" w:color="auto" w:sz="8" w:space="0"/>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维修项目报价(3)</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614" w:type="dxa"/>
            <w:gridSpan w:val="6"/>
            <w:vMerge w:val="restart"/>
            <w:tcBorders>
              <w:top w:val="nil"/>
              <w:left w:val="nil"/>
              <w:bottom w:val="single" w:color="000000"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4080" w:type="dxa"/>
            <w:gridSpan w:val="12"/>
            <w:vMerge w:val="restart"/>
            <w:tcBorders>
              <w:top w:val="nil"/>
              <w:left w:val="single" w:color="auto" w:sz="8" w:space="0"/>
              <w:bottom w:val="single" w:color="000000"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434" w:type="dxa"/>
            <w:gridSpan w:val="15"/>
            <w:tcBorders>
              <w:top w:val="single" w:color="auto" w:sz="8" w:space="0"/>
              <w:left w:val="single" w:color="auto" w:sz="8" w:space="0"/>
              <w:bottom w:val="single" w:color="auto" w:sz="8" w:space="0"/>
              <w:right w:val="single" w:color="000000"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vMerge w:val="continue"/>
            <w:tcBorders>
              <w:top w:val="nil"/>
              <w:left w:val="nil"/>
              <w:bottom w:val="single" w:color="000000" w:sz="8" w:space="0"/>
              <w:right w:val="nil"/>
            </w:tcBorders>
            <w:vAlign w:val="center"/>
          </w:tcPr>
          <w:p>
            <w:pPr>
              <w:rPr>
                <w:rFonts w:ascii="宋体" w:hAnsi="宋体" w:cs="宋体"/>
                <w:color w:val="000000" w:themeColor="text1"/>
                <w:szCs w:val="21"/>
                <w14:textFill>
                  <w14:solidFill>
                    <w14:schemeClr w14:val="tx1"/>
                  </w14:solidFill>
                </w14:textFill>
              </w:rPr>
            </w:pPr>
          </w:p>
        </w:tc>
        <w:tc>
          <w:tcPr>
            <w:tcW w:w="4080" w:type="dxa"/>
            <w:gridSpan w:val="12"/>
            <w:vMerge w:val="continue"/>
            <w:tcBorders>
              <w:top w:val="nil"/>
              <w:left w:val="single" w:color="auto" w:sz="8" w:space="0"/>
              <w:bottom w:val="single" w:color="000000" w:sz="8" w:space="0"/>
              <w:right w:val="nil"/>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559" w:type="dxa"/>
            <w:gridSpan w:val="6"/>
            <w:tcBorders>
              <w:top w:val="nil"/>
              <w:left w:val="nil"/>
              <w:bottom w:val="nil"/>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458" w:type="dxa"/>
            <w:gridSpan w:val="5"/>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vMerge w:val="continue"/>
            <w:tcBorders>
              <w:top w:val="nil"/>
              <w:left w:val="nil"/>
              <w:bottom w:val="single" w:color="000000" w:sz="8" w:space="0"/>
              <w:right w:val="nil"/>
            </w:tcBorders>
            <w:vAlign w:val="center"/>
          </w:tcPr>
          <w:p>
            <w:pPr>
              <w:rPr>
                <w:rFonts w:ascii="宋体" w:hAnsi="宋体" w:cs="宋体"/>
                <w:color w:val="000000" w:themeColor="text1"/>
                <w:szCs w:val="21"/>
                <w14:textFill>
                  <w14:solidFill>
                    <w14:schemeClr w14:val="tx1"/>
                  </w14:solidFill>
                </w14:textFill>
              </w:rPr>
            </w:pPr>
          </w:p>
        </w:tc>
        <w:tc>
          <w:tcPr>
            <w:tcW w:w="4080" w:type="dxa"/>
            <w:gridSpan w:val="12"/>
            <w:vMerge w:val="continue"/>
            <w:tcBorders>
              <w:top w:val="nil"/>
              <w:left w:val="single" w:color="auto" w:sz="8" w:space="0"/>
              <w:bottom w:val="single" w:color="000000" w:sz="8" w:space="0"/>
              <w:right w:val="nil"/>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nil"/>
              <w:left w:val="single" w:color="auto" w:sz="8" w:space="0"/>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559" w:type="dxa"/>
            <w:gridSpan w:val="6"/>
            <w:tcBorders>
              <w:top w:val="single" w:color="auto" w:sz="8" w:space="0"/>
              <w:left w:val="single" w:color="auto" w:sz="8" w:space="0"/>
              <w:bottom w:val="single" w:color="auto" w:sz="8"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458" w:type="dxa"/>
            <w:gridSpan w:val="5"/>
            <w:tcBorders>
              <w:top w:val="single" w:color="auto" w:sz="8"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传动系统③</w:t>
            </w: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301</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更换离合器片</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302</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维修或保养离合器总泵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303</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维修或保养离合器分泵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304</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分解、修理差速器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305</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分解、修理自动变速箱</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306</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分解、修理手动变速箱</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307</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拆装变速箱总成</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308</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拆装波箱油底壳</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309</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更换波箱吊胶</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310</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更换波箱壳</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更换或润滑波箱换挡拉索</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312</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更换或润滑波箱油门拉索</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313</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更换前驱动半轴（边）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314</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更换半轴外球笼（边）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315</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更换半轴内球笼（边）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316</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更换半轴防尘套、保养球笼(边)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317</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换传动轴中间轴承或油封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318</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换油箱支架胶</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319</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后桥大修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320</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调校离合器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321</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换传动轴万向节总成</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322</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更换变速箱齿轮油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换差速器油封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324</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换半轴油封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325</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更换轮毂轴承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326</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检修挂档机构</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327</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变速箱附传动轴</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328</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检修变速器跳档异响</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329</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检修变速器、减速器异响</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330</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检修变速箱操纵机构</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331</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更换变速箱前油封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332</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更换变速箱后油封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换传动轴十字头</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自动变速器大修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335</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手动变速器大修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336</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差速器大修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337</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更换火花塞</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338</w:t>
            </w:r>
          </w:p>
        </w:tc>
        <w:tc>
          <w:tcPr>
            <w:tcW w:w="4080" w:type="dxa"/>
            <w:gridSpan w:val="12"/>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换离合器分离轴承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339</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检修变速箱后油封漏油 </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340</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更换减速器角齿油封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341</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检修后轮壳油封漏油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342</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更换波箱档位显示器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343</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检测更换波箱电磁阀</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344</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检修波箱液压油路板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345</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更换米表线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346</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更换轮胎平衡动力</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347</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尾牙大修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348</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检修离合器总成</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349</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传动轴动平衡</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更换传动轴吊胶</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检修自动变速箱漏油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检修P档锁止开关</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更换差速器油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调校手刹车</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时滞液压试验　</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356</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更换变速杆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357</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保养内球笼</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358</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保养外球笼</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14" w:type="dxa"/>
            <w:gridSpan w:val="6"/>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359</w:t>
            </w:r>
          </w:p>
        </w:tc>
        <w:tc>
          <w:tcPr>
            <w:tcW w:w="4080" w:type="dxa"/>
            <w:gridSpan w:val="12"/>
            <w:tcBorders>
              <w:top w:val="nil"/>
              <w:left w:val="single" w:color="auto" w:sz="8" w:space="0"/>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300" w:hRule="atLeast"/>
        </w:trPr>
        <w:tc>
          <w:tcPr>
            <w:tcW w:w="5120" w:type="dxa"/>
            <w:gridSpan w:val="20"/>
            <w:tcBorders>
              <w:top w:val="single" w:color="auto" w:sz="8" w:space="0"/>
              <w:left w:val="single" w:color="auto" w:sz="8" w:space="0"/>
              <w:bottom w:val="single" w:color="auto" w:sz="8" w:space="0"/>
              <w:right w:val="single" w:color="000000"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r>
              <w:rPr>
                <w:rFonts w:hint="eastAsia" w:ascii="宋体" w:hAnsi="宋体" w:cs="宋体"/>
                <w:b/>
                <w:bCs/>
                <w:color w:val="000000" w:themeColor="text1"/>
                <w:szCs w:val="21"/>
                <w14:textFill>
                  <w14:solidFill>
                    <w14:schemeClr w14:val="tx1"/>
                  </w14:solidFill>
                </w14:textFill>
              </w:rPr>
              <w:t>小计</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20660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19190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15850</w:t>
            </w:r>
          </w:p>
        </w:tc>
      </w:tr>
      <w:tr>
        <w:tblPrEx>
          <w:tblCellMar>
            <w:top w:w="0" w:type="dxa"/>
            <w:left w:w="108" w:type="dxa"/>
            <w:bottom w:w="0" w:type="dxa"/>
            <w:right w:w="108" w:type="dxa"/>
          </w:tblCellMar>
        </w:tblPrEx>
        <w:trPr>
          <w:gridAfter w:val="1"/>
          <w:wAfter w:w="617" w:type="dxa"/>
          <w:trHeight w:val="405" w:hRule="atLeast"/>
        </w:trPr>
        <w:tc>
          <w:tcPr>
            <w:tcW w:w="9554" w:type="dxa"/>
            <w:gridSpan w:val="35"/>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bookmarkStart w:id="1" w:name="RANGE!A1:F67"/>
            <w:r>
              <w:rPr>
                <w:rFonts w:hint="eastAsia" w:ascii="宋体" w:hAnsi="宋体" w:cs="宋体"/>
                <w:b/>
                <w:bCs/>
                <w:color w:val="000000" w:themeColor="text1"/>
                <w:sz w:val="30"/>
                <w:szCs w:val="30"/>
                <w14:textFill>
                  <w14:solidFill>
                    <w14:schemeClr w14:val="tx1"/>
                  </w14:solidFill>
                </w14:textFill>
              </w:rPr>
              <w:t>维修项目报价(4)</w:t>
            </w:r>
            <w:bookmarkEnd w:id="1"/>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668" w:type="dxa"/>
            <w:gridSpan w:val="7"/>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4026" w:type="dxa"/>
            <w:gridSpan w:val="11"/>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434" w:type="dxa"/>
            <w:gridSpan w:val="15"/>
            <w:tcBorders>
              <w:top w:val="single" w:color="auto" w:sz="8" w:space="0"/>
              <w:left w:val="nil"/>
              <w:bottom w:val="single" w:color="auto" w:sz="4" w:space="0"/>
              <w:right w:val="single" w:color="000000"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4026" w:type="dxa"/>
            <w:gridSpan w:val="11"/>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559" w:type="dxa"/>
            <w:gridSpan w:val="6"/>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458" w:type="dxa"/>
            <w:gridSpan w:val="5"/>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4026" w:type="dxa"/>
            <w:gridSpan w:val="11"/>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559" w:type="dxa"/>
            <w:gridSpan w:val="6"/>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458" w:type="dxa"/>
            <w:gridSpan w:val="5"/>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After w:val="1"/>
          <w:wAfter w:w="617" w:type="dxa"/>
          <w:trHeight w:val="300" w:hRule="atLeast"/>
        </w:trPr>
        <w:tc>
          <w:tcPr>
            <w:tcW w:w="426" w:type="dxa"/>
            <w:gridSpan w:val="2"/>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悬挂系统④</w:t>
            </w: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前独立悬挂解体、修理</w:t>
            </w:r>
          </w:p>
        </w:tc>
        <w:tc>
          <w:tcPr>
            <w:tcW w:w="1417" w:type="dxa"/>
            <w:gridSpan w:val="4"/>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559" w:type="dxa"/>
            <w:gridSpan w:val="6"/>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58" w:type="dxa"/>
            <w:gridSpan w:val="5"/>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后独立悬挂解体、修理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403</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更换后悬挂推杆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404</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更换后悬挂稳定杆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更换轮胎螺丝</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更换螺旋弹簧（支）</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407</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更换前减震器（支）</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408</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更换后减震器（支）</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409</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更换前轮避震器座胶</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更换前轮定位拉杆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411</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更换前上挂臂</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412</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更换前下挂臂</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413</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更换后轮上挂臂</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414</w:t>
            </w:r>
          </w:p>
        </w:tc>
        <w:tc>
          <w:tcPr>
            <w:tcW w:w="4026" w:type="dxa"/>
            <w:gridSpan w:val="11"/>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更换后轮下挂臂</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更换平衡杆胶</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更换前平衡杆小连杆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417</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拆装平衡杆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418</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拆装或更换转向节</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419</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拆装前轮轴承（边）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拆装后轮轴承（边）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平衡轮胎（条）（四轮）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更换轮胎,平衡轮胎（四轮）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423</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更换钢圈,平衡轮胎（四轮）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424</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更换发动机前横梁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更换发动机后横梁</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更换前悬挂(支)</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427</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更换后悬挂(支)</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428</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拆装、更换前减震上座</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429</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拆装、更换后减震上座</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更换发动机支架</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换托盘前机</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换普通前机</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433</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换托盘后机</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434</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换普通后机</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检修前轮钢板弹簧断</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检修后轮钢板弹簧断</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437</w:t>
            </w:r>
          </w:p>
        </w:tc>
        <w:tc>
          <w:tcPr>
            <w:tcW w:w="4026" w:type="dxa"/>
            <w:gridSpan w:val="11"/>
            <w:tcBorders>
              <w:top w:val="nil"/>
              <w:left w:val="nil"/>
              <w:bottom w:val="single" w:color="auto" w:sz="4"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检修铆前钢板支架座</w:t>
            </w:r>
          </w:p>
        </w:tc>
        <w:tc>
          <w:tcPr>
            <w:tcW w:w="1417" w:type="dxa"/>
            <w:gridSpan w:val="4"/>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559" w:type="dxa"/>
            <w:gridSpan w:val="6"/>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58" w:type="dxa"/>
            <w:gridSpan w:val="5"/>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438</w:t>
            </w:r>
          </w:p>
        </w:tc>
        <w:tc>
          <w:tcPr>
            <w:tcW w:w="4026"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检修铆后钢板支架座</w:t>
            </w:r>
          </w:p>
        </w:tc>
        <w:tc>
          <w:tcPr>
            <w:tcW w:w="1417" w:type="dxa"/>
            <w:gridSpan w:val="4"/>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559" w:type="dxa"/>
            <w:gridSpan w:val="6"/>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58" w:type="dxa"/>
            <w:gridSpan w:val="5"/>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439</w:t>
            </w:r>
          </w:p>
        </w:tc>
        <w:tc>
          <w:tcPr>
            <w:tcW w:w="4026" w:type="dxa"/>
            <w:gridSpan w:val="11"/>
            <w:tcBorders>
              <w:top w:val="single" w:color="auto" w:sz="4" w:space="0"/>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调校前桥扭杆弹簧</w:t>
            </w:r>
          </w:p>
        </w:tc>
        <w:tc>
          <w:tcPr>
            <w:tcW w:w="1417" w:type="dxa"/>
            <w:gridSpan w:val="4"/>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换独立悬挂弹簧</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换悬挂上、下球头</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换前轴</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443</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更换钢板销及衬套</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444</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大修悬挂系统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检查调校前轮定位</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调校前轮前束</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447</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换前驱动轴</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448</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换后钢板弹簧</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449</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更换前桥</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更换后桥</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调整转向角度</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检修横直拉杆</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453</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检修底盘异响 </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454</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换扭杆式前叉板胶套及轴</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455</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检修更换帮胎</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456</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检修可变悬架系统</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457</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检修空压式悬架避震系统</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458</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检修电子悬挂电路</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459</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更换前轮油封</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460</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更换后轮油封</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461</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换前减震器弹簧</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426" w:type="dxa"/>
            <w:gridSpan w:val="2"/>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68" w:type="dxa"/>
            <w:gridSpan w:val="7"/>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462</w:t>
            </w:r>
          </w:p>
        </w:tc>
        <w:tc>
          <w:tcPr>
            <w:tcW w:w="4026" w:type="dxa"/>
            <w:gridSpan w:val="11"/>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换后减震器弹簧</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5120" w:type="dxa"/>
            <w:gridSpan w:val="20"/>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11200</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10230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8180</w:t>
            </w:r>
          </w:p>
        </w:tc>
      </w:tr>
      <w:tr>
        <w:tblPrEx>
          <w:tblCellMar>
            <w:top w:w="0" w:type="dxa"/>
            <w:left w:w="108" w:type="dxa"/>
            <w:bottom w:w="0" w:type="dxa"/>
            <w:right w:w="108" w:type="dxa"/>
          </w:tblCellMar>
        </w:tblPrEx>
        <w:trPr>
          <w:gridAfter w:val="1"/>
          <w:wAfter w:w="617" w:type="dxa"/>
          <w:trHeight w:val="405" w:hRule="atLeast"/>
        </w:trPr>
        <w:tc>
          <w:tcPr>
            <w:tcW w:w="9554" w:type="dxa"/>
            <w:gridSpan w:val="35"/>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维修项目报价(5)</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639" w:type="dxa"/>
            <w:gridSpan w:val="8"/>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883" w:type="dxa"/>
            <w:gridSpan w:val="9"/>
            <w:vMerge w:val="restart"/>
            <w:tcBorders>
              <w:top w:val="nil"/>
              <w:left w:val="single" w:color="auto" w:sz="8" w:space="0"/>
              <w:bottom w:val="single" w:color="000000" w:sz="8"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434"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883" w:type="dxa"/>
            <w:gridSpan w:val="9"/>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559"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458" w:type="dxa"/>
            <w:gridSpan w:val="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883" w:type="dxa"/>
            <w:gridSpan w:val="9"/>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17"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559"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458" w:type="dxa"/>
            <w:gridSpan w:val="5"/>
            <w:tcBorders>
              <w:top w:val="single" w:color="000000" w:sz="4" w:space="0"/>
              <w:left w:val="single" w:color="000000" w:sz="4" w:space="0"/>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restart"/>
            <w:tcBorders>
              <w:top w:val="nil"/>
              <w:left w:val="single" w:color="auto" w:sz="8" w:space="0"/>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制动系统⑤</w:t>
            </w: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501</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更换前制动片</w:t>
            </w:r>
          </w:p>
        </w:tc>
        <w:tc>
          <w:tcPr>
            <w:tcW w:w="1417" w:type="dxa"/>
            <w:gridSpan w:val="4"/>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single" w:color="auto" w:sz="8"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502</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更换后制动片（碟刹）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503</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更换后制动蹄（鼓刹）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504</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更换手刹片</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505</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更换后制动鼓</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506</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更换自动波</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507</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光整制动盘（个）</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508</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更换前制动盘</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509</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更换后制动盘</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4"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w:t>
            </w:r>
          </w:p>
        </w:tc>
        <w:tc>
          <w:tcPr>
            <w:tcW w:w="3883" w:type="dxa"/>
            <w:gridSpan w:val="9"/>
            <w:tcBorders>
              <w:top w:val="nil"/>
              <w:left w:val="nil"/>
              <w:bottom w:val="single" w:color="auto" w:sz="4"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加工刹车盘</w:t>
            </w:r>
          </w:p>
        </w:tc>
        <w:tc>
          <w:tcPr>
            <w:tcW w:w="1417" w:type="dxa"/>
            <w:gridSpan w:val="4"/>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59" w:type="dxa"/>
            <w:gridSpan w:val="6"/>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4"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w:t>
            </w:r>
          </w:p>
        </w:tc>
        <w:tc>
          <w:tcPr>
            <w:tcW w:w="3883" w:type="dxa"/>
            <w:gridSpan w:val="9"/>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更换制动底板</w:t>
            </w:r>
          </w:p>
        </w:tc>
        <w:tc>
          <w:tcPr>
            <w:tcW w:w="1417" w:type="dxa"/>
            <w:gridSpan w:val="4"/>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59" w:type="dxa"/>
            <w:gridSpan w:val="6"/>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single" w:color="auto"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512</w:t>
            </w:r>
          </w:p>
        </w:tc>
        <w:tc>
          <w:tcPr>
            <w:tcW w:w="3883" w:type="dxa"/>
            <w:gridSpan w:val="9"/>
            <w:tcBorders>
              <w:top w:val="single" w:color="auto" w:sz="4" w:space="0"/>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镗制动鼓（个）</w:t>
            </w:r>
          </w:p>
        </w:tc>
        <w:tc>
          <w:tcPr>
            <w:tcW w:w="1417" w:type="dxa"/>
            <w:gridSpan w:val="4"/>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513</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检修保养制动总泵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514</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更换制动总泵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515</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检修保养制动分泵（碟）</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516</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更换制动分泵（前）</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517</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更换真空助力器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518</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更换ABS执行器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519</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更换ABS转速传感器（个）</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520</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更换车轮制动软管（条）</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521</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保养或更换手刹拉线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522</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调速手刹拉杆</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523</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检验制动台检</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524</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检修刹车系统</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525</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更换制动链</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526</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换制动碟(个)</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527</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制动踏板</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528</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换刹车比例阀</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529</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换刹车总泵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530</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换刹车分泵</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531</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检修后轮轮毂油封漏油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70/边</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60/边</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50/边</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532</w:t>
            </w:r>
          </w:p>
        </w:tc>
        <w:tc>
          <w:tcPr>
            <w:tcW w:w="3883" w:type="dxa"/>
            <w:gridSpan w:val="9"/>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检修、调校四轮刹车 (含放空气)</w:t>
            </w:r>
          </w:p>
        </w:tc>
        <w:tc>
          <w:tcPr>
            <w:tcW w:w="1417"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58"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300"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533</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更换刹车油</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534</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制动系统大修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535</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换储气筒</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536</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检修真空增压器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537</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换盘式制动片</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538</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539</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调校刹车间隙</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540</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刹车碟拆装磨光</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50元/个</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40元/个</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40元/个</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541</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刹车鼓拆装磨光</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50元/个</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40元/个</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40元/个</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542</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拆装、更换刹车总泵修理包</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543</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检修ABS系统</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544</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检修四轮</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545</w:t>
            </w:r>
          </w:p>
        </w:tc>
        <w:tc>
          <w:tcPr>
            <w:tcW w:w="3883" w:type="dxa"/>
            <w:gridSpan w:val="9"/>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调整手制动</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After w:val="1"/>
          <w:wAfter w:w="617" w:type="dxa"/>
          <w:trHeight w:val="285" w:hRule="atLeast"/>
        </w:trPr>
        <w:tc>
          <w:tcPr>
            <w:tcW w:w="598" w:type="dxa"/>
            <w:gridSpan w:val="3"/>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639" w:type="dxa"/>
            <w:gridSpan w:val="8"/>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546</w:t>
            </w:r>
          </w:p>
        </w:tc>
        <w:tc>
          <w:tcPr>
            <w:tcW w:w="3883" w:type="dxa"/>
            <w:gridSpan w:val="9"/>
            <w:tcBorders>
              <w:top w:val="nil"/>
              <w:left w:val="nil"/>
              <w:bottom w:val="nil"/>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调校制动踏板行程</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After w:val="1"/>
          <w:wAfter w:w="617" w:type="dxa"/>
          <w:trHeight w:val="285" w:hRule="atLeast"/>
        </w:trPr>
        <w:tc>
          <w:tcPr>
            <w:tcW w:w="5120" w:type="dxa"/>
            <w:gridSpan w:val="20"/>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417"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6090</w:t>
            </w:r>
          </w:p>
        </w:tc>
        <w:tc>
          <w:tcPr>
            <w:tcW w:w="1559"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5590</w:t>
            </w:r>
          </w:p>
        </w:tc>
        <w:tc>
          <w:tcPr>
            <w:tcW w:w="1458"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4640</w:t>
            </w:r>
          </w:p>
        </w:tc>
      </w:tr>
      <w:tr>
        <w:tblPrEx>
          <w:tblCellMar>
            <w:top w:w="0" w:type="dxa"/>
            <w:left w:w="108" w:type="dxa"/>
            <w:bottom w:w="0" w:type="dxa"/>
            <w:right w:w="108" w:type="dxa"/>
          </w:tblCellMar>
        </w:tblPrEx>
        <w:trPr>
          <w:gridAfter w:val="2"/>
          <w:wAfter w:w="657" w:type="dxa"/>
          <w:trHeight w:val="405" w:hRule="atLeast"/>
        </w:trPr>
        <w:tc>
          <w:tcPr>
            <w:tcW w:w="9514" w:type="dxa"/>
            <w:gridSpan w:val="34"/>
            <w:tcBorders>
              <w:top w:val="nil"/>
              <w:left w:val="nil"/>
              <w:bottom w:val="single" w:color="auto" w:sz="8" w:space="0"/>
            </w:tcBorders>
            <w:vAlign w:val="bottom"/>
          </w:tcPr>
          <w:p>
            <w:pPr>
              <w:jc w:val="center"/>
              <w:rPr>
                <w:rFonts w:ascii="宋体" w:hAnsi="宋体" w:cs="宋体"/>
                <w:b/>
                <w:bCs/>
                <w:color w:val="000000" w:themeColor="text1"/>
                <w:sz w:val="30"/>
                <w:szCs w:val="30"/>
                <w14:textFill>
                  <w14:solidFill>
                    <w14:schemeClr w14:val="tx1"/>
                  </w14:solidFill>
                </w14:textFill>
              </w:rPr>
            </w:pPr>
            <w:bookmarkStart w:id="2" w:name="RANGE!A1:F61"/>
            <w:r>
              <w:rPr>
                <w:rFonts w:hint="eastAsia" w:ascii="宋体" w:hAnsi="宋体" w:cs="宋体"/>
                <w:b/>
                <w:bCs/>
                <w:color w:val="000000" w:themeColor="text1"/>
                <w:sz w:val="30"/>
                <w:szCs w:val="30"/>
                <w14:textFill>
                  <w14:solidFill>
                    <w14:schemeClr w14:val="tx1"/>
                  </w14:solidFill>
                </w14:textFill>
              </w:rPr>
              <w:t>维修项目报价(6)</w:t>
            </w:r>
            <w:bookmarkEnd w:id="2"/>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945" w:type="dxa"/>
            <w:gridSpan w:val="9"/>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217" w:type="dxa"/>
            <w:gridSpan w:val="4"/>
            <w:vMerge w:val="restart"/>
            <w:tcBorders>
              <w:top w:val="nil"/>
              <w:left w:val="single" w:color="auto" w:sz="8" w:space="0"/>
              <w:bottom w:val="single" w:color="000000" w:sz="8"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664"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217" w:type="dxa"/>
            <w:gridSpan w:val="4"/>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741"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505" w:type="dxa"/>
            <w:gridSpan w:val="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418"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217" w:type="dxa"/>
            <w:gridSpan w:val="4"/>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741"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505" w:type="dxa"/>
            <w:gridSpan w:val="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418"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After w:val="2"/>
          <w:wAfter w:w="657" w:type="dxa"/>
          <w:trHeight w:val="300" w:hRule="atLeast"/>
        </w:trPr>
        <w:tc>
          <w:tcPr>
            <w:tcW w:w="688" w:type="dxa"/>
            <w:gridSpan w:val="6"/>
            <w:vMerge w:val="restart"/>
            <w:tcBorders>
              <w:top w:val="nil"/>
              <w:left w:val="single" w:color="auto" w:sz="8" w:space="0"/>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转向系统⑥</w:t>
            </w: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601</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四轮定位检测、调整</w:t>
            </w:r>
          </w:p>
        </w:tc>
        <w:tc>
          <w:tcPr>
            <w:tcW w:w="1741" w:type="dxa"/>
            <w:gridSpan w:val="6"/>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05" w:type="dxa"/>
            <w:gridSpan w:val="5"/>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c>
          <w:tcPr>
            <w:tcW w:w="1418" w:type="dxa"/>
            <w:gridSpan w:val="4"/>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602</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前束检测、调整</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603</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更换方向机总成</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604</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大修方向机</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605</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更换方向助力油泵</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606</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拆装转向管柱</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607</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检修转向拉杆机构</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608</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拆装转向横拉杆(内球头)</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120/边</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100/边</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80/边</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609</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 正方向盘位置</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610</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调后束</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更换方向机油</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更换横拉杆球头（左、右）</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80/边</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70/边</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60/边</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613</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更换方向机防尘套</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80/边</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70/边</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60/边</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614</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更换方向机横拉杆</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80/边</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70/边</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60/边</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615</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调整方向盘间隙</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616</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更换助力泵油</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617</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更换助力泵油壶</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618</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换方向机外球头</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619</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调整转向角度 </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620</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拆换转向节</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621</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换方向机中尺</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622</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换前轴(工字梁 )</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623</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换发动机前支承垫螺栓</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624</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换发动机后支承垫螺栓</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625</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检修变速箱操纵机构</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626</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更换变速箱齿轮油</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627</w:t>
            </w:r>
          </w:p>
        </w:tc>
        <w:tc>
          <w:tcPr>
            <w:tcW w:w="3217"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检修变速箱油封漏油</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628</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检修变速箱后油封漏油</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629</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检修变速箱跳档异响</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630</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减速器角齿油封</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631</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检查调校前轮定位</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135</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632</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换高低压油管</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633</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检修助力泵</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634</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更换助力泵</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635</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保养方向机</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636</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动力转向机大修</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637</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换动力液压泵修理包</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638</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检修转向机电控系统</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639</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更换方向机主臂</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640</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更换方向机付臂</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641</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642</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更换方向机油散热器</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643</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更换方向盘</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644</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方向间隙调整</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645</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检修方向侧滑</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646</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拆装前平行杆</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2"/>
          <w:wAfter w:w="657" w:type="dxa"/>
          <w:trHeight w:val="300"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647</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拆装后平行杆</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648</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拆装前稳定杆(左右)</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649</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拆装后稳定杆(左右)</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检修方向机</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651</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前桥转向系统大修</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652</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调整前轴转向节</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653</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换转向机十字轴</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654</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换方向杆</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655</w:t>
            </w:r>
          </w:p>
        </w:tc>
        <w:tc>
          <w:tcPr>
            <w:tcW w:w="3217"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换方向锁</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After w:val="2"/>
          <w:wAfter w:w="657" w:type="dxa"/>
          <w:trHeight w:val="285" w:hRule="atLeast"/>
        </w:trPr>
        <w:tc>
          <w:tcPr>
            <w:tcW w:w="688"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45" w:type="dxa"/>
            <w:gridSpan w:val="9"/>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656</w:t>
            </w:r>
          </w:p>
        </w:tc>
        <w:tc>
          <w:tcPr>
            <w:tcW w:w="3217" w:type="dxa"/>
            <w:gridSpan w:val="4"/>
            <w:tcBorders>
              <w:top w:val="nil"/>
              <w:left w:val="nil"/>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换方向减震器</w:t>
            </w:r>
          </w:p>
        </w:tc>
        <w:tc>
          <w:tcPr>
            <w:tcW w:w="1741"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505"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18"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After w:val="2"/>
          <w:wAfter w:w="657" w:type="dxa"/>
          <w:trHeight w:val="285" w:hRule="atLeast"/>
        </w:trPr>
        <w:tc>
          <w:tcPr>
            <w:tcW w:w="4850" w:type="dxa"/>
            <w:gridSpan w:val="19"/>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741"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8975</w:t>
            </w:r>
          </w:p>
        </w:tc>
        <w:tc>
          <w:tcPr>
            <w:tcW w:w="1505"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8060</w:t>
            </w:r>
          </w:p>
        </w:tc>
        <w:tc>
          <w:tcPr>
            <w:tcW w:w="1418"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6460</w:t>
            </w:r>
          </w:p>
        </w:tc>
      </w:tr>
      <w:tr>
        <w:tblPrEx>
          <w:tblCellMar>
            <w:top w:w="0" w:type="dxa"/>
            <w:left w:w="108" w:type="dxa"/>
            <w:bottom w:w="0" w:type="dxa"/>
            <w:right w:w="108" w:type="dxa"/>
          </w:tblCellMar>
        </w:tblPrEx>
        <w:trPr>
          <w:gridBefore w:val="4"/>
          <w:wBefore w:w="617" w:type="dxa"/>
          <w:trHeight w:val="405" w:hRule="atLeast"/>
          <w:jc w:val="center"/>
        </w:trPr>
        <w:tc>
          <w:tcPr>
            <w:tcW w:w="9554" w:type="dxa"/>
            <w:gridSpan w:val="32"/>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维修项目报价(7)</w:t>
            </w:r>
          </w:p>
        </w:tc>
      </w:tr>
      <w:tr>
        <w:tblPrEx>
          <w:tblCellMar>
            <w:top w:w="0" w:type="dxa"/>
            <w:left w:w="108" w:type="dxa"/>
            <w:bottom w:w="0" w:type="dxa"/>
            <w:right w:w="108" w:type="dxa"/>
          </w:tblCellMar>
        </w:tblPrEx>
        <w:trPr>
          <w:gridBefore w:val="4"/>
          <w:wBefore w:w="617" w:type="dxa"/>
          <w:trHeight w:val="353" w:hRule="atLeast"/>
          <w:jc w:val="center"/>
        </w:trPr>
        <w:tc>
          <w:tcPr>
            <w:tcW w:w="554" w:type="dxa"/>
            <w:gridSpan w:val="6"/>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900" w:type="dxa"/>
            <w:gridSpan w:val="6"/>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060" w:type="dxa"/>
            <w:gridSpan w:val="5"/>
            <w:vMerge w:val="restart"/>
            <w:tcBorders>
              <w:top w:val="nil"/>
              <w:left w:val="single" w:color="auto" w:sz="8" w:space="0"/>
              <w:bottom w:val="single" w:color="000000" w:sz="8"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5040"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060" w:type="dxa"/>
            <w:gridSpan w:val="5"/>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620"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800" w:type="dxa"/>
            <w:gridSpan w:val="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060" w:type="dxa"/>
            <w:gridSpan w:val="5"/>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620"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800" w:type="dxa"/>
            <w:gridSpan w:val="5"/>
            <w:tcBorders>
              <w:top w:val="single" w:color="000000" w:sz="4" w:space="0"/>
              <w:left w:val="single" w:color="000000" w:sz="4" w:space="0"/>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Before w:val="4"/>
          <w:wBefore w:w="617" w:type="dxa"/>
          <w:trHeight w:val="300" w:hRule="atLeast"/>
          <w:jc w:val="center"/>
        </w:trPr>
        <w:tc>
          <w:tcPr>
            <w:tcW w:w="554" w:type="dxa"/>
            <w:gridSpan w:val="6"/>
            <w:vMerge w:val="restart"/>
            <w:tcBorders>
              <w:top w:val="nil"/>
              <w:left w:val="single" w:color="auto" w:sz="8" w:space="0"/>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空调系统⑦</w:t>
            </w: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701</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测漏，加雪种（R12）</w:t>
            </w:r>
          </w:p>
        </w:tc>
        <w:tc>
          <w:tcPr>
            <w:tcW w:w="1620" w:type="dxa"/>
            <w:gridSpan w:val="6"/>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5"/>
            <w:tcBorders>
              <w:top w:val="single" w:color="auto" w:sz="8"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702</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测漏，加雪种（R134a）</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703</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更换电磁离合器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704</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更换压缩机</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705</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更换冷凝器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706</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清洁或更换蒸发器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707</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更换暖水开关阀</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708</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更换电子扇或电子扇马达</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709</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更换风量调节开关</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710</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更换冷暖调节开关或拉索</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711</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更换A/C开关</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712</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更换暖风水箱</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713</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714</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拆装空调鼓风机</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715</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拆装空调进气滤网</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716</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检修电子扇电路</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717</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检修空调电路</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718</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空调系统全面检修</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719</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换雪种瓶</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720</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抽真空加雪种</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721</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检修冷气提速开关</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722</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换高低压管</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723</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检修排漏</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724</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清洗、拆装干燥瓶</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725</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清洗、拆装散热网</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726</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更换空调继电器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727</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更换空调管路</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728</w:t>
            </w:r>
          </w:p>
        </w:tc>
        <w:tc>
          <w:tcPr>
            <w:tcW w:w="3060" w:type="dxa"/>
            <w:gridSpan w:val="5"/>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检修压缩机磁吸</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729</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清洗冷气风口、管道</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730</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731</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换制冷管(条)</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732</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排除空调漏水</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733</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检修、更换空调散热网</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734</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修补、更换蒸发器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735</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检修、更换膨胀阀</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735</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检修、更换冷气泵</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736</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更换冷气皮带调整轮</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737</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冷气风机检修</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738</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拆装修复冷凝网</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739</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拆装更换冷气温度感应器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740</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更换冷气温度显示器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741</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检修空调部分异响</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742</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743</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更换空调保险阀</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744</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清洗水箱</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745</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检修空调电路（自动）　</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746</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更换冷气泵皮带</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300"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747</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空调系大修</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748</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检修暖气系统　</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749</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拆装仪表台</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750</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检修自动空调控制系统</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751</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改装压缩泵支架</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752</w:t>
            </w:r>
          </w:p>
        </w:tc>
        <w:tc>
          <w:tcPr>
            <w:tcW w:w="3060"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清洗蒸发器</w:t>
            </w:r>
          </w:p>
        </w:tc>
        <w:tc>
          <w:tcPr>
            <w:tcW w:w="162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80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554" w:type="dxa"/>
            <w:gridSpan w:val="6"/>
            <w:vMerge w:val="continue"/>
            <w:tcBorders>
              <w:top w:val="nil"/>
              <w:left w:val="single" w:color="auto" w:sz="8" w:space="0"/>
              <w:bottom w:val="single" w:color="000000" w:sz="4"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900" w:type="dxa"/>
            <w:gridSpan w:val="6"/>
            <w:tcBorders>
              <w:top w:val="nil"/>
              <w:left w:val="nil"/>
              <w:bottom w:val="single" w:color="000000"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753</w:t>
            </w:r>
          </w:p>
        </w:tc>
        <w:tc>
          <w:tcPr>
            <w:tcW w:w="3060" w:type="dxa"/>
            <w:gridSpan w:val="5"/>
            <w:tcBorders>
              <w:top w:val="nil"/>
              <w:left w:val="nil"/>
              <w:bottom w:val="single" w:color="000000" w:sz="4"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调温控开关</w:t>
            </w:r>
          </w:p>
        </w:tc>
        <w:tc>
          <w:tcPr>
            <w:tcW w:w="1620" w:type="dxa"/>
            <w:gridSpan w:val="6"/>
            <w:tcBorders>
              <w:top w:val="nil"/>
              <w:left w:val="nil"/>
              <w:bottom w:val="single" w:color="000000"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620" w:type="dxa"/>
            <w:gridSpan w:val="4"/>
            <w:tcBorders>
              <w:top w:val="nil"/>
              <w:left w:val="nil"/>
              <w:bottom w:val="single" w:color="000000"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5"/>
            <w:tcBorders>
              <w:top w:val="nil"/>
              <w:left w:val="nil"/>
              <w:bottom w:val="single" w:color="000000" w:sz="4"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4514" w:type="dxa"/>
            <w:gridSpan w:val="1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620"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10020</w:t>
            </w:r>
          </w:p>
        </w:tc>
        <w:tc>
          <w:tcPr>
            <w:tcW w:w="1620"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9100</w:t>
            </w:r>
          </w:p>
        </w:tc>
        <w:tc>
          <w:tcPr>
            <w:tcW w:w="1800" w:type="dxa"/>
            <w:gridSpan w:val="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7230</w:t>
            </w:r>
          </w:p>
        </w:tc>
      </w:tr>
      <w:tr>
        <w:tblPrEx>
          <w:tblCellMar>
            <w:top w:w="0" w:type="dxa"/>
            <w:left w:w="108" w:type="dxa"/>
            <w:bottom w:w="0" w:type="dxa"/>
            <w:right w:w="108" w:type="dxa"/>
          </w:tblCellMar>
        </w:tblPrEx>
        <w:trPr>
          <w:gridBefore w:val="4"/>
          <w:wBefore w:w="617" w:type="dxa"/>
          <w:trHeight w:val="405" w:hRule="atLeast"/>
          <w:jc w:val="center"/>
        </w:trPr>
        <w:tc>
          <w:tcPr>
            <w:tcW w:w="9554" w:type="dxa"/>
            <w:gridSpan w:val="32"/>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维修项目报价(8)</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816" w:type="dxa"/>
            <w:gridSpan w:val="5"/>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3478" w:type="dxa"/>
            <w:gridSpan w:val="5"/>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4500" w:type="dxa"/>
            <w:gridSpan w:val="14"/>
            <w:tcBorders>
              <w:top w:val="single" w:color="auto" w:sz="8" w:space="0"/>
              <w:left w:val="nil"/>
              <w:bottom w:val="single" w:color="000000"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478" w:type="dxa"/>
            <w:gridSpan w:val="5"/>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40"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440"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3478" w:type="dxa"/>
            <w:gridSpan w:val="5"/>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40" w:type="dxa"/>
            <w:gridSpan w:val="6"/>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440" w:type="dxa"/>
            <w:gridSpan w:val="4"/>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Before w:val="4"/>
          <w:wBefore w:w="617" w:type="dxa"/>
          <w:trHeight w:val="300" w:hRule="atLeast"/>
          <w:jc w:val="center"/>
        </w:trPr>
        <w:tc>
          <w:tcPr>
            <w:tcW w:w="760" w:type="dxa"/>
            <w:gridSpan w:val="8"/>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车身电器⑧</w:t>
            </w: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检修里程表线路</w:t>
            </w:r>
          </w:p>
        </w:tc>
        <w:tc>
          <w:tcPr>
            <w:tcW w:w="1440" w:type="dxa"/>
            <w:gridSpan w:val="6"/>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single" w:color="000000" w:sz="4" w:space="0"/>
              <w:left w:val="nil"/>
              <w:bottom w:val="single" w:color="auto" w:sz="8"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802</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检修水温表线路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803</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检修转速表线路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single" w:color="auto"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804</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检修燃油表线路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805</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检修机油压力线路（机油灯亮）</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806</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检修充电指示灯线路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检修全车灯光线路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808</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调整大灯位置及光轴</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更换大灯灯泡（个）</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拆修雨刮连杆机构</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检修雨刮喷水机构</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更换雨刮片</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813</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更换雨刮喷水壶或喷水电机</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更换天线总成</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815</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更换电动天线芯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更换电池</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817</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电池充电</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818</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更换前门音响喇叭（个）</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819</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更换后音响喇叭（个）</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820</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拆装音响主机</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821</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更换电喇叭</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822</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更换气袋线盘</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823</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更换左右气袋及电脑</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824</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更换升降器总开关</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更换前门升降器或马达</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更换后门升降器或马达</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更换转向组合开关</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更换前大灯或大灯座（只）</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更换前角灯（只）</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更换后尾灯（只）</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831</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更换转向灯灯泡（个）</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832</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更换后高位制动灯灯泡</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833</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更换前保险杠灯（只）</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834</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检修、更换前射灯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检修手刹灯线路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836</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检修挂挡杆灯线路</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拆修天窗机构</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838</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更换天窗开关</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839</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检修原厂防盗系统</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检修电动后视镜及电路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更换仪表板照明灯泡</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全车线路大修</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检修、清除气囊故障</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844</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拆装雨刮及机构</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更换前转向灯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846</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更换落水槽饰条(条)</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847</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更换室内倒车镜</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845</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换发电机 </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846</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检修、更换起动机 </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847</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换雨刮马达</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848</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换继电器</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849</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换保险盒</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850</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检修电子防盗器系统</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851</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解除ABS故障</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852</w:t>
            </w:r>
          </w:p>
        </w:tc>
        <w:tc>
          <w:tcPr>
            <w:tcW w:w="3478" w:type="dxa"/>
            <w:gridSpan w:val="5"/>
            <w:tcBorders>
              <w:top w:val="nil"/>
              <w:left w:val="nil"/>
              <w:bottom w:val="single" w:color="auto" w:sz="8" w:space="0"/>
              <w:right w:val="nil"/>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放大电路故障</w:t>
            </w:r>
          </w:p>
        </w:tc>
        <w:tc>
          <w:tcPr>
            <w:tcW w:w="1440" w:type="dxa"/>
            <w:gridSpan w:val="6"/>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排除供油系统电器故障</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回门控制故障</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电脑检测</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检修车速电器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检修巡航控制系统电路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检修电动座椅电路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859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检修分电器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更换前档</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更换后档</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更换外把手</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更换四档泥板</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检修发电机</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检修电动车窗电路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检修中央门锁</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拆装仪表台</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拆装更换门灯感应器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检修安全带感应器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更换手刹灯感应器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更换刹车油量感应器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更换机油感应器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拆检尾门锁灯开关总成</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检修调节器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检修起动线路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检修发电机异响</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检修充电灯常着</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检修仪表灯不着</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检修刹车灯常着</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检修手刹灯不着</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检修全车灯光信号　</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检修行灯、尾灯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检修灯光开关总成</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检修雨刮喷水电路　</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检修电动天线</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检修电子燃油喷射系统</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更换电池线（正）</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889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更换电池线（负）</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检修发动机故障灯常见亮</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发动机保养归零</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检修SRS装置</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更换仪表总成</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检修自动波外控电器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检修液压方向机电子控制系统</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检修自动防撞系统（仪表台）</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配装遥控器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70"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检修加速防滑系统</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899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检修四轮驱动电控器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300"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检修CD收放机外接电路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检修电子仪表板电路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检修更换雾灯（一对）</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配装收放机</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检修大灯高低调整装置</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改装白天行车电路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检修大灯电路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检修小灯电路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更换电池线及接头</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8109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更换发电机整流器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更换发电机调节器（IC）</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更换雨刮臂</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8112</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电脑解除故障码</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8113</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检修转向灯线路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8114</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检修倒车灯电路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8115</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检修喷水电路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8116</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检修雨刮电路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8117</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检修喇叭电路</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8118</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安装车尾静电线</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8119</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更换里程表</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8120</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更换组合仪表总成</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8121</w:t>
            </w:r>
          </w:p>
        </w:tc>
        <w:tc>
          <w:tcPr>
            <w:tcW w:w="3478" w:type="dxa"/>
            <w:gridSpan w:val="5"/>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清洗水箱</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4"/>
          <w:wBefore w:w="617" w:type="dxa"/>
          <w:trHeight w:val="285" w:hRule="atLeast"/>
          <w:jc w:val="center"/>
        </w:trPr>
        <w:tc>
          <w:tcPr>
            <w:tcW w:w="760" w:type="dxa"/>
            <w:gridSpan w:val="8"/>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16" w:type="dxa"/>
            <w:gridSpan w:val="5"/>
            <w:tcBorders>
              <w:top w:val="nil"/>
              <w:left w:val="nil"/>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8122</w:t>
            </w:r>
          </w:p>
        </w:tc>
        <w:tc>
          <w:tcPr>
            <w:tcW w:w="3478" w:type="dxa"/>
            <w:gridSpan w:val="5"/>
            <w:tcBorders>
              <w:top w:val="nil"/>
              <w:left w:val="nil"/>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检查发电量</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4"/>
          <w:wBefore w:w="617" w:type="dxa"/>
          <w:trHeight w:val="285" w:hRule="atLeast"/>
          <w:jc w:val="center"/>
        </w:trPr>
        <w:tc>
          <w:tcPr>
            <w:tcW w:w="5054" w:type="dxa"/>
            <w:gridSpan w:val="18"/>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44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15860</w:t>
            </w:r>
          </w:p>
        </w:tc>
        <w:tc>
          <w:tcPr>
            <w:tcW w:w="144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14180</w:t>
            </w:r>
          </w:p>
        </w:tc>
        <w:tc>
          <w:tcPr>
            <w:tcW w:w="162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10665</w:t>
            </w:r>
          </w:p>
        </w:tc>
      </w:tr>
      <w:tr>
        <w:tblPrEx>
          <w:tblCellMar>
            <w:top w:w="0" w:type="dxa"/>
            <w:left w:w="108" w:type="dxa"/>
            <w:bottom w:w="0" w:type="dxa"/>
            <w:right w:w="108" w:type="dxa"/>
          </w:tblCellMar>
        </w:tblPrEx>
        <w:trPr>
          <w:gridBefore w:val="1"/>
          <w:gridAfter w:val="3"/>
          <w:wBefore w:w="90" w:type="dxa"/>
          <w:wAfter w:w="707" w:type="dxa"/>
          <w:trHeight w:val="405" w:hRule="atLeast"/>
        </w:trPr>
        <w:tc>
          <w:tcPr>
            <w:tcW w:w="9374" w:type="dxa"/>
            <w:gridSpan w:val="32"/>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维修项目报价(9)</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842" w:type="dxa"/>
            <w:gridSpan w:val="9"/>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2898" w:type="dxa"/>
            <w:gridSpan w:val="4"/>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　</w:t>
            </w:r>
          </w:p>
        </w:tc>
        <w:tc>
          <w:tcPr>
            <w:tcW w:w="5040" w:type="dxa"/>
            <w:gridSpan w:val="15"/>
            <w:tcBorders>
              <w:top w:val="single" w:color="auto" w:sz="8" w:space="0"/>
              <w:left w:val="nil"/>
              <w:bottom w:val="single" w:color="000000" w:sz="4" w:space="0"/>
              <w:right w:val="single" w:color="auto"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898" w:type="dxa"/>
            <w:gridSpan w:val="4"/>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4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80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898" w:type="dxa"/>
            <w:gridSpan w:val="4"/>
            <w:vMerge w:val="continue"/>
            <w:tcBorders>
              <w:top w:val="nil"/>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44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80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18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车身部分⑨</w:t>
            </w: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901</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拆装车身饰件</w:t>
            </w:r>
          </w:p>
        </w:tc>
        <w:tc>
          <w:tcPr>
            <w:tcW w:w="1440" w:type="dxa"/>
            <w:gridSpan w:val="5"/>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4"/>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902</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拆装仪表台</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更换前中网</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904</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更换前或后档风玻璃</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905</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更换发动机盖</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更换发动机仓前龙门架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更换发动机盖锁并调整</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更换发动机盖拉索拉手</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909</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更换倒车镜</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拆装倒车雷达</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更换前翼子板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更换后翼子板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913</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更换前车门（个）</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914</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更换前门玻璃（件）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拆装前门内饰板（件）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拆装后门饰板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拆装向管柱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更换车身前立柱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更换车身中立柱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更换前门锁机并调整（个）</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更换后门锁机并调整</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更换落水槽饰条（条）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更换前门玻璃绒槽（条）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更换后门玻璃绒槽</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更换前门升降器或马达</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更换后门升降器或马达</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927</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更换门锁驱动器（个）</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928</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更换后门玻璃（件）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929</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更换行李箱盖</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更换前保险杠</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931</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更换后保险杠</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更换点火开关及点火锁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更换全车标志</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934</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更换全车锁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安装全车电镀楣</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936</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更换天窗玻璃</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拆装天窗机构</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938</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更换后门三角窗</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939</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更换车身下裙</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940</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更换后门玻璃外压条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941</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更换前门玻璃外压条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942</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校正大梁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更换车身地毯</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944</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拆装驾驶室天花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拆装汽油箱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947</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更换油箱拉索</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更换油箱开启盖</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949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更换水箱上支架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更换水箱下支架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更换车门防水胶条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更换车门外拉手</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更换车门内拉手</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更换车门限位器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更换后车门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拆装行李箱内饰件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更换行李箱后围板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更换行李箱拉簧</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959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拆装前排座椅</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拆装后排座椅及靠背</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更换挡泥胶（四轮）</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更换前轮内挡泥衬胶（单边）</w:t>
            </w:r>
          </w:p>
        </w:tc>
        <w:tc>
          <w:tcPr>
            <w:tcW w:w="1440"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更换后轮内挡泥补胶（单边）</w:t>
            </w:r>
          </w:p>
        </w:tc>
        <w:tc>
          <w:tcPr>
            <w:tcW w:w="1440"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更换车门防撞胶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更换大灯下支架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更换前保险杠上支架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更换后保险杠上支架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969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更换前叶子板内托（左或右）</w:t>
            </w:r>
          </w:p>
        </w:tc>
        <w:tc>
          <w:tcPr>
            <w:tcW w:w="1440"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更换后叶子板内托（左或右）</w:t>
            </w:r>
          </w:p>
        </w:tc>
        <w:tc>
          <w:tcPr>
            <w:tcW w:w="1440" w:type="dxa"/>
            <w:gridSpan w:val="5"/>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更换门柱外饰铰</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更换后盖铰</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973</w:t>
            </w:r>
          </w:p>
        </w:tc>
        <w:tc>
          <w:tcPr>
            <w:tcW w:w="2898" w:type="dxa"/>
            <w:gridSpan w:val="4"/>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更换前、后门门铰（对）</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更换前大灯(个)</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更换室内倒车镜</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更换前转向灯</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更换后叶子板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单门修复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979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前杠修复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前叶子板修复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引擎盖修复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后箱盖修复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修玻璃升降器手动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修玻璃升降器电动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换单门锁芯</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换尾箱盖锁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换引擎盖锁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焊补排气管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989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换车身彩条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发动机盖修复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更换前盖</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更换前盖拉索</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更换尾门撑杆</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排气喉拆装及修复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更换前格栅</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检修排气箱</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电池架烧焊固定</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999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检修中门轴承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检修车头盖锁</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检修前盖或后门撑</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固定保险杠角胶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更换后叶子板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换车门玻璃</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换后视镜</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轮胎上盖板修复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后尾幅修复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9109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车身大修</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更换车身电镀饰板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油箱修补</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前照面修复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前玻璃框锈蚀修复 </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后玻璃框锈蚀修复 </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车顶沙板修复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修复后保险杠</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修复车身部分沙板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9118</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更换安全带</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9119</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调校车门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9120</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调校尾门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9121</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检修自动悬挂装置</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9122</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更换后盖拉线</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9123</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拆装全车附件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9124</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前门或后门修复（单）</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9125</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修复备胎架</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9126</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调校门锁位</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9127</w:t>
            </w:r>
          </w:p>
        </w:tc>
        <w:tc>
          <w:tcPr>
            <w:tcW w:w="2898" w:type="dxa"/>
            <w:gridSpan w:val="4"/>
            <w:tcBorders>
              <w:top w:val="nil"/>
              <w:left w:val="nil"/>
              <w:bottom w:val="single" w:color="auto" w:sz="8" w:space="0"/>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调校升降器</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594" w:type="dxa"/>
            <w:gridSpan w:val="4"/>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42" w:type="dxa"/>
            <w:gridSpan w:val="9"/>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9128</w:t>
            </w:r>
          </w:p>
        </w:tc>
        <w:tc>
          <w:tcPr>
            <w:tcW w:w="2898" w:type="dxa"/>
            <w:gridSpan w:val="4"/>
            <w:tcBorders>
              <w:top w:val="nil"/>
              <w:left w:val="nil"/>
              <w:bottom w:val="nil"/>
              <w:right w:val="single" w:color="auto"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换叶子板饰条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r>
      <w:tr>
        <w:tblPrEx>
          <w:tblCellMar>
            <w:top w:w="0" w:type="dxa"/>
            <w:left w:w="108" w:type="dxa"/>
            <w:bottom w:w="0" w:type="dxa"/>
            <w:right w:w="108" w:type="dxa"/>
          </w:tblCellMar>
        </w:tblPrEx>
        <w:trPr>
          <w:gridBefore w:val="1"/>
          <w:gridAfter w:val="3"/>
          <w:wBefore w:w="90" w:type="dxa"/>
          <w:wAfter w:w="707" w:type="dxa"/>
          <w:trHeight w:val="285" w:hRule="atLeast"/>
        </w:trPr>
        <w:tc>
          <w:tcPr>
            <w:tcW w:w="4334" w:type="dxa"/>
            <w:gridSpan w:val="17"/>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440" w:type="dxa"/>
            <w:gridSpan w:val="5"/>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18750</w:t>
            </w:r>
          </w:p>
        </w:tc>
        <w:tc>
          <w:tcPr>
            <w:tcW w:w="1800" w:type="dxa"/>
            <w:gridSpan w:val="6"/>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16390</w:t>
            </w:r>
          </w:p>
        </w:tc>
        <w:tc>
          <w:tcPr>
            <w:tcW w:w="1800" w:type="dxa"/>
            <w:gridSpan w:val="4"/>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12935</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b/>
          <w:color w:val="000000" w:themeColor="text1"/>
          <w:sz w:val="28"/>
          <w:szCs w:val="28"/>
          <w:lang w:val="en-US" w:eastAsia="zh-CN"/>
          <w14:textFill>
            <w14:solidFill>
              <w14:schemeClr w14:val="tx1"/>
            </w14:solidFill>
          </w14:textFill>
        </w:rPr>
      </w:pPr>
    </w:p>
    <w:tbl>
      <w:tblPr>
        <w:tblStyle w:val="3"/>
        <w:tblW w:w="9476" w:type="dxa"/>
        <w:tblInd w:w="-580" w:type="dxa"/>
        <w:tblLayout w:type="fixed"/>
        <w:tblCellMar>
          <w:top w:w="0" w:type="dxa"/>
          <w:left w:w="108" w:type="dxa"/>
          <w:bottom w:w="0" w:type="dxa"/>
          <w:right w:w="108" w:type="dxa"/>
        </w:tblCellMar>
      </w:tblPr>
      <w:tblGrid>
        <w:gridCol w:w="489"/>
        <w:gridCol w:w="756"/>
        <w:gridCol w:w="1226"/>
        <w:gridCol w:w="1674"/>
        <w:gridCol w:w="1620"/>
        <w:gridCol w:w="1629"/>
        <w:gridCol w:w="2082"/>
      </w:tblGrid>
      <w:tr>
        <w:tblPrEx>
          <w:tblCellMar>
            <w:top w:w="0" w:type="dxa"/>
            <w:left w:w="108" w:type="dxa"/>
            <w:bottom w:w="0" w:type="dxa"/>
            <w:right w:w="108" w:type="dxa"/>
          </w:tblCellMar>
        </w:tblPrEx>
        <w:trPr>
          <w:trHeight w:val="405" w:hRule="atLeast"/>
        </w:trPr>
        <w:tc>
          <w:tcPr>
            <w:tcW w:w="9476" w:type="dxa"/>
            <w:gridSpan w:val="7"/>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bookmarkStart w:id="3" w:name="RANGE!A1:G33"/>
            <w:r>
              <w:rPr>
                <w:rFonts w:hint="eastAsia" w:ascii="宋体" w:hAnsi="宋体" w:cs="宋体"/>
                <w:b/>
                <w:bCs/>
                <w:color w:val="000000" w:themeColor="text1"/>
                <w:sz w:val="30"/>
                <w:szCs w:val="30"/>
                <w14:textFill>
                  <w14:solidFill>
                    <w14:schemeClr w14:val="tx1"/>
                  </w14:solidFill>
                </w14:textFill>
              </w:rPr>
              <w:t>维修项目报价(十)</w:t>
            </w:r>
            <w:bookmarkEnd w:id="3"/>
          </w:p>
        </w:tc>
      </w:tr>
      <w:tr>
        <w:tblPrEx>
          <w:tblCellMar>
            <w:top w:w="0" w:type="dxa"/>
            <w:left w:w="108" w:type="dxa"/>
            <w:bottom w:w="0" w:type="dxa"/>
            <w:right w:w="108" w:type="dxa"/>
          </w:tblCellMar>
        </w:tblPrEx>
        <w:trPr>
          <w:trHeight w:val="300" w:hRule="atLeast"/>
        </w:trPr>
        <w:tc>
          <w:tcPr>
            <w:tcW w:w="48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756"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2900" w:type="dxa"/>
            <w:gridSpan w:val="2"/>
            <w:vMerge w:val="restart"/>
            <w:tcBorders>
              <w:top w:val="single" w:color="auto" w:sz="8" w:space="0"/>
              <w:left w:val="single" w:color="auto" w:sz="8" w:space="0"/>
              <w:bottom w:val="single" w:color="000000" w:sz="8" w:space="0"/>
              <w:right w:val="single" w:color="000000"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　</w:t>
            </w:r>
          </w:p>
        </w:tc>
        <w:tc>
          <w:tcPr>
            <w:tcW w:w="5331" w:type="dxa"/>
            <w:gridSpan w:val="3"/>
            <w:tcBorders>
              <w:top w:val="single" w:color="auto" w:sz="8" w:space="0"/>
              <w:left w:val="nil"/>
              <w:bottom w:val="single" w:color="000000" w:sz="4" w:space="0"/>
              <w:right w:val="single" w:color="000000"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900" w:type="dxa"/>
            <w:gridSpan w:val="2"/>
            <w:vMerge w:val="continue"/>
            <w:tcBorders>
              <w:top w:val="single" w:color="auto" w:sz="8" w:space="0"/>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62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20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trHeight w:val="300" w:hRule="atLeast"/>
        </w:trPr>
        <w:tc>
          <w:tcPr>
            <w:tcW w:w="48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900" w:type="dxa"/>
            <w:gridSpan w:val="2"/>
            <w:vMerge w:val="continue"/>
            <w:tcBorders>
              <w:top w:val="single" w:color="auto" w:sz="8" w:space="0"/>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62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208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trHeight w:val="300" w:hRule="atLeast"/>
        </w:trPr>
        <w:tc>
          <w:tcPr>
            <w:tcW w:w="489" w:type="dxa"/>
            <w:vMerge w:val="restart"/>
            <w:tcBorders>
              <w:top w:val="nil"/>
              <w:left w:val="single" w:color="auto" w:sz="8" w:space="0"/>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钣金⑩</w:t>
            </w:r>
          </w:p>
        </w:tc>
        <w:tc>
          <w:tcPr>
            <w:tcW w:w="756"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1001</w:t>
            </w:r>
          </w:p>
        </w:tc>
        <w:tc>
          <w:tcPr>
            <w:tcW w:w="1226"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全车内外沙板凹位             霉烂位修复及校正</w:t>
            </w:r>
          </w:p>
        </w:tc>
        <w:tc>
          <w:tcPr>
            <w:tcW w:w="1674"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w:t>
            </w:r>
          </w:p>
        </w:tc>
        <w:tc>
          <w:tcPr>
            <w:tcW w:w="1620" w:type="dxa"/>
            <w:tcBorders>
              <w:top w:val="single" w:color="000000"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w:t>
            </w:r>
          </w:p>
        </w:tc>
        <w:tc>
          <w:tcPr>
            <w:tcW w:w="1629" w:type="dxa"/>
            <w:tcBorders>
              <w:top w:val="single" w:color="000000"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2082" w:type="dxa"/>
            <w:tcBorders>
              <w:top w:val="single" w:color="000000" w:sz="4" w:space="0"/>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r>
      <w:tr>
        <w:tblPrEx>
          <w:tblCellMar>
            <w:top w:w="0" w:type="dxa"/>
            <w:left w:w="108" w:type="dxa"/>
            <w:bottom w:w="0" w:type="dxa"/>
            <w:right w:w="108" w:type="dxa"/>
          </w:tblCellMar>
        </w:tblPrEx>
        <w:trPr>
          <w:trHeight w:val="300"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22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74"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严重</w:t>
            </w:r>
          </w:p>
        </w:tc>
        <w:tc>
          <w:tcPr>
            <w:tcW w:w="1620" w:type="dxa"/>
            <w:tcBorders>
              <w:top w:val="nil"/>
              <w:left w:val="nil"/>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w:t>
            </w:r>
          </w:p>
        </w:tc>
        <w:tc>
          <w:tcPr>
            <w:tcW w:w="1629" w:type="dxa"/>
            <w:tcBorders>
              <w:top w:val="nil"/>
              <w:left w:val="nil"/>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r>
      <w:tr>
        <w:tblPrEx>
          <w:tblCellMar>
            <w:top w:w="0" w:type="dxa"/>
            <w:left w:w="108" w:type="dxa"/>
            <w:bottom w:w="0" w:type="dxa"/>
            <w:right w:w="108" w:type="dxa"/>
          </w:tblCellMar>
        </w:tblPrEx>
        <w:trPr>
          <w:trHeight w:val="312"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1002</w:t>
            </w:r>
          </w:p>
        </w:tc>
        <w:tc>
          <w:tcPr>
            <w:tcW w:w="2900" w:type="dxa"/>
            <w:gridSpan w:val="2"/>
            <w:vMerge w:val="restart"/>
            <w:tcBorders>
              <w:top w:val="nil"/>
              <w:left w:val="single" w:color="auto" w:sz="8" w:space="0"/>
              <w:bottom w:val="single" w:color="000000" w:sz="8" w:space="0"/>
              <w:right w:val="single" w:color="000000"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发动机盖凹位修复及校正</w:t>
            </w:r>
          </w:p>
        </w:tc>
        <w:tc>
          <w:tcPr>
            <w:tcW w:w="1620"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9" w:type="dxa"/>
            <w:vMerge w:val="restart"/>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82"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312"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900" w:type="dxa"/>
            <w:gridSpan w:val="2"/>
            <w:vMerge w:val="continue"/>
            <w:tcBorders>
              <w:top w:val="nil"/>
              <w:left w:val="single" w:color="auto" w:sz="8" w:space="0"/>
              <w:bottom w:val="single" w:color="000000"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p>
        </w:tc>
        <w:tc>
          <w:tcPr>
            <w:tcW w:w="1620"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p>
        </w:tc>
        <w:tc>
          <w:tcPr>
            <w:tcW w:w="1629"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p>
        </w:tc>
        <w:tc>
          <w:tcPr>
            <w:tcW w:w="2082" w:type="dxa"/>
            <w:vMerge w:val="continue"/>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1003</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左前叶子板凹位修复及校正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1004</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右前叶子板凹位修复及校正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车顶凹位修复及校正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1006</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左前门凹位修复及校正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1007</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右前门凹位修复及校正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1008</w:t>
            </w:r>
          </w:p>
        </w:tc>
        <w:tc>
          <w:tcPr>
            <w:tcW w:w="2900" w:type="dxa"/>
            <w:gridSpan w:val="2"/>
            <w:tcBorders>
              <w:top w:val="nil"/>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左下裙条凹位修复及校正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1009</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右下裙条凹位修复及校正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1010</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左前立柱凹位修复及校正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1011</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右前立柱凹位修复及校正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1012</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左中柱凹位修复及校正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1013</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右中柱凹位修复及校正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1014</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更换左前大梁</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1015</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更换右前大梁</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1016</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左后门凹位修复及校正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1017</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右后门凹位修复及校正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1018</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左后叶子板凹位修复及校正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1019</w:t>
            </w:r>
          </w:p>
        </w:tc>
        <w:tc>
          <w:tcPr>
            <w:tcW w:w="29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右后叶子板凹位修复及校正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1020</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行李箱盖凹位修复及校正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1021</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前保险杠凹位修复及校正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1022</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后保险杠凹位修复及校正</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1023</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修复前大梁（后）</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1024</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修复前、后大梁</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1025</w:t>
            </w:r>
          </w:p>
        </w:tc>
        <w:tc>
          <w:tcPr>
            <w:tcW w:w="29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中门沙板修复</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489"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756" w:type="dxa"/>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1026</w:t>
            </w:r>
          </w:p>
        </w:tc>
        <w:tc>
          <w:tcPr>
            <w:tcW w:w="2900" w:type="dxa"/>
            <w:gridSpan w:val="2"/>
            <w:tcBorders>
              <w:top w:val="single" w:color="auto" w:sz="8" w:space="0"/>
              <w:left w:val="nil"/>
              <w:bottom w:val="nil"/>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拆装清洁全车室内饰件</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300" w:hRule="atLeast"/>
        </w:trPr>
        <w:tc>
          <w:tcPr>
            <w:tcW w:w="4145" w:type="dxa"/>
            <w:gridSpan w:val="4"/>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620"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8790</w:t>
            </w:r>
          </w:p>
        </w:tc>
        <w:tc>
          <w:tcPr>
            <w:tcW w:w="162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7290</w:t>
            </w:r>
          </w:p>
        </w:tc>
        <w:tc>
          <w:tcPr>
            <w:tcW w:w="2082"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6120</w:t>
            </w:r>
          </w:p>
        </w:tc>
      </w:tr>
    </w:tbl>
    <w:tbl>
      <w:tblPr>
        <w:tblStyle w:val="3"/>
        <w:tblpPr w:leftFromText="180" w:rightFromText="180" w:vertAnchor="text" w:horzAnchor="page" w:tblpX="1285" w:tblpY="305"/>
        <w:tblOverlap w:val="never"/>
        <w:tblW w:w="9485" w:type="dxa"/>
        <w:tblInd w:w="0" w:type="dxa"/>
        <w:tblLayout w:type="fixed"/>
        <w:tblCellMar>
          <w:top w:w="0" w:type="dxa"/>
          <w:left w:w="108" w:type="dxa"/>
          <w:bottom w:w="0" w:type="dxa"/>
          <w:right w:w="108" w:type="dxa"/>
        </w:tblCellMar>
      </w:tblPr>
      <w:tblGrid>
        <w:gridCol w:w="645"/>
        <w:gridCol w:w="809"/>
        <w:gridCol w:w="1699"/>
        <w:gridCol w:w="1001"/>
        <w:gridCol w:w="1620"/>
        <w:gridCol w:w="1620"/>
        <w:gridCol w:w="2091"/>
      </w:tblGrid>
      <w:tr>
        <w:tblPrEx>
          <w:tblCellMar>
            <w:top w:w="0" w:type="dxa"/>
            <w:left w:w="108" w:type="dxa"/>
            <w:bottom w:w="0" w:type="dxa"/>
            <w:right w:w="108" w:type="dxa"/>
          </w:tblCellMar>
        </w:tblPrEx>
        <w:trPr>
          <w:trHeight w:val="420" w:hRule="atLeast"/>
        </w:trPr>
        <w:tc>
          <w:tcPr>
            <w:tcW w:w="9485" w:type="dxa"/>
            <w:gridSpan w:val="7"/>
            <w:tcBorders>
              <w:top w:val="nil"/>
              <w:left w:val="nil"/>
              <w:bottom w:val="single" w:color="auto" w:sz="8" w:space="0"/>
              <w:right w:val="nil"/>
            </w:tcBorders>
            <w:vAlign w:val="bottom"/>
          </w:tcPr>
          <w:p>
            <w:pPr>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维修项目报价(十一)</w:t>
            </w:r>
          </w:p>
        </w:tc>
      </w:tr>
      <w:tr>
        <w:tblPrEx>
          <w:tblCellMar>
            <w:top w:w="0" w:type="dxa"/>
            <w:left w:w="108" w:type="dxa"/>
            <w:bottom w:w="0" w:type="dxa"/>
            <w:right w:w="108" w:type="dxa"/>
          </w:tblCellMar>
        </w:tblPrEx>
        <w:trPr>
          <w:trHeight w:val="285" w:hRule="atLeast"/>
        </w:trPr>
        <w:tc>
          <w:tcPr>
            <w:tcW w:w="645"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类别</w:t>
            </w: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编号</w:t>
            </w:r>
          </w:p>
        </w:tc>
        <w:tc>
          <w:tcPr>
            <w:tcW w:w="2700" w:type="dxa"/>
            <w:gridSpan w:val="2"/>
            <w:vMerge w:val="restart"/>
            <w:tcBorders>
              <w:top w:val="single" w:color="auto" w:sz="8" w:space="0"/>
              <w:left w:val="single" w:color="auto" w:sz="8" w:space="0"/>
              <w:bottom w:val="single" w:color="000000"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维修项目</w:t>
            </w:r>
          </w:p>
        </w:tc>
        <w:tc>
          <w:tcPr>
            <w:tcW w:w="5331" w:type="dxa"/>
            <w:gridSpan w:val="3"/>
            <w:tcBorders>
              <w:top w:val="single" w:color="auto" w:sz="8" w:space="0"/>
              <w:left w:val="single" w:color="auto" w:sz="8" w:space="0"/>
              <w:bottom w:val="single" w:color="000000" w:sz="4" w:space="0"/>
              <w:right w:val="single" w:color="000000"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项目报价（人民币 元）</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700" w:type="dxa"/>
            <w:gridSpan w:val="2"/>
            <w:vMerge w:val="continue"/>
            <w:tcBorders>
              <w:top w:val="single" w:color="auto" w:sz="8" w:space="0"/>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一类</w:t>
            </w: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二类</w:t>
            </w:r>
          </w:p>
        </w:tc>
        <w:tc>
          <w:tcPr>
            <w:tcW w:w="2091"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三类</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2700" w:type="dxa"/>
            <w:gridSpan w:val="2"/>
            <w:vMerge w:val="continue"/>
            <w:tcBorders>
              <w:top w:val="single" w:color="auto" w:sz="8" w:space="0"/>
              <w:left w:val="single" w:color="auto" w:sz="8" w:space="0"/>
              <w:bottom w:val="single" w:color="000000" w:sz="8"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3000CC以上</w:t>
            </w:r>
          </w:p>
        </w:tc>
        <w:tc>
          <w:tcPr>
            <w:tcW w:w="162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2000-3000CC</w:t>
            </w:r>
          </w:p>
        </w:tc>
        <w:tc>
          <w:tcPr>
            <w:tcW w:w="2091"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2000CC以下</w:t>
            </w:r>
          </w:p>
        </w:tc>
      </w:tr>
      <w:tr>
        <w:tblPrEx>
          <w:tblCellMar>
            <w:top w:w="0" w:type="dxa"/>
            <w:left w:w="108" w:type="dxa"/>
            <w:bottom w:w="0" w:type="dxa"/>
            <w:right w:w="108" w:type="dxa"/>
          </w:tblCellMar>
        </w:tblPrEx>
        <w:trPr>
          <w:trHeight w:val="285" w:hRule="atLeast"/>
        </w:trPr>
        <w:tc>
          <w:tcPr>
            <w:tcW w:w="645" w:type="dxa"/>
            <w:vMerge w:val="restart"/>
            <w:tcBorders>
              <w:top w:val="nil"/>
              <w:left w:val="single" w:color="auto" w:sz="8" w:space="0"/>
              <w:bottom w:val="nil"/>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烤漆及美容○1111</w:t>
            </w: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1101</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全车烤漆内外</w:t>
            </w:r>
          </w:p>
        </w:tc>
        <w:tc>
          <w:tcPr>
            <w:tcW w:w="1620" w:type="dxa"/>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6000</w:t>
            </w:r>
          </w:p>
        </w:tc>
        <w:tc>
          <w:tcPr>
            <w:tcW w:w="1620" w:type="dxa"/>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5500</w:t>
            </w:r>
          </w:p>
        </w:tc>
        <w:tc>
          <w:tcPr>
            <w:tcW w:w="2091" w:type="dxa"/>
            <w:tcBorders>
              <w:top w:val="single" w:color="000000" w:sz="4" w:space="0"/>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1102</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发动机盖烤漆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1103</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前保险杠烤漆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315</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1104</w:t>
            </w:r>
          </w:p>
        </w:tc>
        <w:tc>
          <w:tcPr>
            <w:tcW w:w="1699" w:type="dxa"/>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前保险杠补漆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局部</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1105</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后保险杠烤漆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1106</w:t>
            </w:r>
          </w:p>
        </w:tc>
        <w:tc>
          <w:tcPr>
            <w:tcW w:w="1699" w:type="dxa"/>
            <w:tcBorders>
              <w:top w:val="nil"/>
              <w:left w:val="nil"/>
              <w:bottom w:val="single" w:color="auto"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后保险杠补漆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局部</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1107</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前叶子板烤漆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1108</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后叶子板烤漆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1109</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前车门烤漆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1110</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后车门烤漆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1111</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前立柱烤漆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1112</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中立柱烤漆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1113</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后立柱烤漆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1114</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车门上幅烤漆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1115</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车门下幅烤漆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1116</w:t>
            </w:r>
          </w:p>
        </w:tc>
        <w:tc>
          <w:tcPr>
            <w:tcW w:w="2700" w:type="dxa"/>
            <w:gridSpan w:val="2"/>
            <w:tcBorders>
              <w:top w:val="nil"/>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车门防撞条烤漆　</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1117</w:t>
            </w:r>
          </w:p>
        </w:tc>
        <w:tc>
          <w:tcPr>
            <w:tcW w:w="2700" w:type="dxa"/>
            <w:gridSpan w:val="2"/>
            <w:tcBorders>
              <w:top w:val="single" w:color="auto" w:sz="8" w:space="0"/>
              <w:left w:val="nil"/>
              <w:bottom w:val="single" w:color="auto" w:sz="8" w:space="0"/>
              <w:right w:val="single" w:color="000000" w:sz="8" w:space="0"/>
            </w:tcBorders>
            <w:vAlign w:val="bottom"/>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沙板修复位补漆　</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1118</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车身下裙条烤漆</w:t>
            </w: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1119</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行李箱烤漆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1120</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车顶烤漆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残破</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restart"/>
            <w:tcBorders>
              <w:top w:val="nil"/>
              <w:left w:val="single" w:color="auto" w:sz="8" w:space="0"/>
              <w:bottom w:val="single" w:color="000000"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1121</w:t>
            </w:r>
          </w:p>
        </w:tc>
        <w:tc>
          <w:tcPr>
            <w:tcW w:w="1699" w:type="dxa"/>
            <w:vMerge w:val="restart"/>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倒车镜烤漆</w:t>
            </w: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699"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1001" w:type="dxa"/>
            <w:tcBorders>
              <w:top w:val="nil"/>
              <w:left w:val="nil"/>
              <w:bottom w:val="single" w:color="auto" w:sz="8" w:space="0"/>
              <w:right w:val="nil"/>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旧件</w:t>
            </w:r>
          </w:p>
        </w:tc>
        <w:tc>
          <w:tcPr>
            <w:tcW w:w="1620" w:type="dxa"/>
            <w:tcBorders>
              <w:top w:val="nil"/>
              <w:left w:val="single" w:color="auto" w:sz="8" w:space="0"/>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1122</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全车清洗座位、上蜡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1123</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发动机清洗、上蜡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1124</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全车抛光、上蜡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1125</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全车打磨、抛光、上蜡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1126</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上增艳蜡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1127</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全车除污渍</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1128</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打磨、抛光加一层</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1129</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单门焗漆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1130</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前机焗漆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1131</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后机焗漆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1132</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后箱盖焗漆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1133</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引擎盖焗漆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1134</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内部美容蒸气</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1135</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前盖烤漆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1136</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水蜡洗车</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1137</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上99普通上光蜡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1138</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更换全车座套</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1139</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更换全车地毡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1140</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全车填面喷漆、烤漆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1141</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车底喷防锈漆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1142</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全车室内消毒</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1143</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全车装表茶纸</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1144</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室内椅套清洗</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1145</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真皮座椅去渍、上光</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1146</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发动机外表清洗</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1147</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全车填面喷漆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1148</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后尾幅喷漆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1149</w:t>
            </w:r>
          </w:p>
        </w:tc>
        <w:tc>
          <w:tcPr>
            <w:tcW w:w="2700" w:type="dxa"/>
            <w:gridSpan w:val="2"/>
            <w:tcBorders>
              <w:top w:val="single" w:color="auto" w:sz="8" w:space="0"/>
              <w:left w:val="nil"/>
              <w:bottom w:val="single" w:color="auto" w:sz="8" w:space="0"/>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部分沙板喷漆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285" w:hRule="atLeast"/>
        </w:trPr>
        <w:tc>
          <w:tcPr>
            <w:tcW w:w="645" w:type="dxa"/>
            <w:vMerge w:val="continue"/>
            <w:tcBorders>
              <w:top w:val="nil"/>
              <w:left w:val="single" w:color="auto" w:sz="8" w:space="0"/>
              <w:bottom w:val="nil"/>
              <w:right w:val="single" w:color="auto" w:sz="8" w:space="0"/>
            </w:tcBorders>
            <w:vAlign w:val="center"/>
          </w:tcPr>
          <w:p>
            <w:pPr>
              <w:rPr>
                <w:rFonts w:ascii="宋体" w:hAnsi="宋体" w:cs="宋体"/>
                <w:color w:val="000000" w:themeColor="text1"/>
                <w:szCs w:val="21"/>
                <w14:textFill>
                  <w14:solidFill>
                    <w14:schemeClr w14:val="tx1"/>
                  </w14:solidFill>
                </w14:textFill>
              </w:rPr>
            </w:pPr>
          </w:p>
        </w:tc>
        <w:tc>
          <w:tcPr>
            <w:tcW w:w="809" w:type="dxa"/>
            <w:tcBorders>
              <w:top w:val="nil"/>
              <w:left w:val="nil"/>
              <w:bottom w:val="nil"/>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1150</w:t>
            </w:r>
          </w:p>
        </w:tc>
        <w:tc>
          <w:tcPr>
            <w:tcW w:w="2700" w:type="dxa"/>
            <w:gridSpan w:val="2"/>
            <w:tcBorders>
              <w:top w:val="single" w:color="auto" w:sz="8" w:space="0"/>
              <w:left w:val="nil"/>
              <w:bottom w:val="nil"/>
              <w:right w:val="single" w:color="000000" w:sz="8"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大梁修复后烤漆</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w:t>
            </w:r>
          </w:p>
        </w:tc>
      </w:tr>
      <w:tr>
        <w:tblPrEx>
          <w:tblCellMar>
            <w:top w:w="0" w:type="dxa"/>
            <w:left w:w="108" w:type="dxa"/>
            <w:bottom w:w="0" w:type="dxa"/>
            <w:right w:w="108" w:type="dxa"/>
          </w:tblCellMar>
        </w:tblPrEx>
        <w:trPr>
          <w:trHeight w:val="285" w:hRule="atLeast"/>
        </w:trPr>
        <w:tc>
          <w:tcPr>
            <w:tcW w:w="4154" w:type="dxa"/>
            <w:gridSpan w:val="4"/>
            <w:tcBorders>
              <w:top w:val="single" w:color="auto" w:sz="8" w:space="0"/>
              <w:left w:val="single" w:color="auto" w:sz="8" w:space="0"/>
              <w:bottom w:val="single" w:color="auto" w:sz="8" w:space="0"/>
              <w:right w:val="single" w:color="000000" w:sz="8" w:space="0"/>
            </w:tcBorders>
            <w:vAlign w:val="center"/>
          </w:tcPr>
          <w:p>
            <w:pPr>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小计</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41880</w:t>
            </w:r>
          </w:p>
        </w:tc>
        <w:tc>
          <w:tcPr>
            <w:tcW w:w="1620"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36870</w:t>
            </w:r>
          </w:p>
        </w:tc>
        <w:tc>
          <w:tcPr>
            <w:tcW w:w="2091" w:type="dxa"/>
            <w:tcBorders>
              <w:top w:val="nil"/>
              <w:left w:val="nil"/>
              <w:bottom w:val="single" w:color="auto" w:sz="8" w:space="0"/>
              <w:right w:val="single" w:color="auto" w:sz="8" w:space="0"/>
            </w:tcBorders>
            <w:vAlign w:val="bottom"/>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28400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b/>
          <w:color w:val="000000" w:themeColor="text1"/>
          <w:sz w:val="28"/>
          <w:szCs w:val="28"/>
          <w:lang w:val="en-US" w:eastAsia="zh-CN"/>
          <w14:textFill>
            <w14:solidFill>
              <w14:schemeClr w14:val="tx1"/>
            </w14:solidFill>
          </w14:textFill>
        </w:rPr>
      </w:pPr>
      <w:r>
        <w:rPr>
          <w:rFonts w:hint="eastAsia" w:ascii="宋体" w:hAnsi="宋体"/>
          <w:kern w:val="0"/>
          <w:sz w:val="24"/>
          <w:szCs w:val="24"/>
        </w:rPr>
        <w:t>注：表中机修电器项目收费含相关附件拆装，钣金项目收费为单项拆装修复，喷漆项目收费包含漆料，美容项目包含耗材。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CA106"/>
    <w:multiLevelType w:val="singleLevel"/>
    <w:tmpl w:val="8D0CA1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zU4ODlhMDA1NDU4YTJjN2FjNjBhYTFjMDVmMmUifQ=="/>
  </w:docVars>
  <w:rsids>
    <w:rsidRoot w:val="00000000"/>
    <w:rsid w:val="06BE7877"/>
    <w:rsid w:val="0D3D01C4"/>
    <w:rsid w:val="0E7D11B8"/>
    <w:rsid w:val="12267A7C"/>
    <w:rsid w:val="162E2871"/>
    <w:rsid w:val="221968EE"/>
    <w:rsid w:val="30F92A23"/>
    <w:rsid w:val="3219104F"/>
    <w:rsid w:val="3464319F"/>
    <w:rsid w:val="388D3E50"/>
    <w:rsid w:val="404623E2"/>
    <w:rsid w:val="49C831C6"/>
    <w:rsid w:val="4A34774F"/>
    <w:rsid w:val="4AAC5DB8"/>
    <w:rsid w:val="56A654FB"/>
    <w:rsid w:val="5F645E22"/>
    <w:rsid w:val="66EC7E2C"/>
    <w:rsid w:val="6B9E4BA6"/>
    <w:rsid w:val="71A46515"/>
    <w:rsid w:val="7D38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ZWK</dc:creator>
  <cp:lastModifiedBy>Nice°</cp:lastModifiedBy>
  <dcterms:modified xsi:type="dcterms:W3CDTF">2024-05-31T02:39:43Z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B08369D231634251AC0C73953CA8C453_12</vt:lpwstr>
  </property>
</Properties>
</file>