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firstLine="281" w:firstLineChars="100"/>
        <w:jc w:val="center"/>
        <w:rPr>
          <w:rFonts w:ascii="宋体" w:hAnsi="宋体" w:cs="宋体"/>
          <w:b/>
          <w:bCs/>
          <w:sz w:val="24"/>
          <w:highlight w:val="none"/>
          <w:lang w:val="zh-CN"/>
        </w:rPr>
      </w:pPr>
      <w:r>
        <w:rPr>
          <w:rFonts w:hint="eastAsia" w:ascii="仿宋" w:hAnsi="仿宋" w:eastAsia="仿宋" w:cs="仿宋"/>
          <w:b/>
          <w:bCs/>
          <w:sz w:val="28"/>
          <w:szCs w:val="28"/>
          <w:highlight w:val="none"/>
          <w:lang w:val="en-US" w:eastAsia="zh-CN"/>
        </w:rPr>
        <w:t>药品快递服务</w:t>
      </w:r>
      <w:r>
        <w:rPr>
          <w:rFonts w:hint="eastAsia" w:ascii="仿宋" w:hAnsi="仿宋" w:eastAsia="仿宋" w:cs="仿宋"/>
          <w:b/>
          <w:bCs/>
          <w:sz w:val="28"/>
          <w:szCs w:val="28"/>
          <w:highlight w:val="none"/>
        </w:rPr>
        <w:t>项目</w:t>
      </w:r>
      <w:r>
        <w:rPr>
          <w:rFonts w:hint="eastAsia" w:ascii="仿宋" w:hAnsi="仿宋" w:eastAsia="仿宋" w:cs="仿宋"/>
          <w:b/>
          <w:bCs/>
          <w:sz w:val="28"/>
          <w:szCs w:val="28"/>
          <w:highlight w:val="none"/>
          <w:lang w:eastAsia="zh-CN"/>
        </w:rPr>
        <w:t>需求</w:t>
      </w:r>
    </w:p>
    <w:p>
      <w:pPr>
        <w:rPr>
          <w:rFonts w:ascii="宋体" w:hAnsi="宋体" w:cs="宋体"/>
          <w:b/>
          <w:bCs/>
          <w:sz w:val="24"/>
          <w:highlight w:val="none"/>
          <w:lang w:val="zh-CN"/>
        </w:rPr>
      </w:pPr>
    </w:p>
    <w:p>
      <w:pPr>
        <w:pStyle w:val="8"/>
        <w:rPr>
          <w:rFonts w:ascii="宋体" w:hAnsi="宋体" w:eastAsia="宋体" w:cs="宋体"/>
          <w:b/>
          <w:kern w:val="2"/>
          <w:highlight w:val="none"/>
        </w:rPr>
      </w:pPr>
      <w:r>
        <w:rPr>
          <w:rFonts w:hint="eastAsia" w:ascii="宋体" w:hAnsi="宋体" w:eastAsia="宋体" w:cs="宋体"/>
          <w:b/>
          <w:kern w:val="2"/>
          <w:highlight w:val="none"/>
        </w:rPr>
        <w:t>一、项目要求</w:t>
      </w:r>
    </w:p>
    <w:p>
      <w:pPr>
        <w:pStyle w:val="9"/>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1、时效性</w:t>
      </w:r>
    </w:p>
    <w:p>
      <w:pPr>
        <w:pStyle w:val="9"/>
        <w:spacing w:line="360" w:lineRule="auto"/>
        <w:ind w:firstLine="480"/>
        <w:rPr>
          <w:rFonts w:ascii="宋体" w:hAnsi="宋体" w:cs="宋体"/>
          <w:b/>
          <w:kern w:val="2"/>
          <w:sz w:val="24"/>
          <w:szCs w:val="24"/>
          <w:highlight w:val="none"/>
        </w:rPr>
      </w:pPr>
      <w:r>
        <w:rPr>
          <w:rFonts w:hint="eastAsia" w:ascii="宋体" w:hAnsi="宋体" w:cs="宋体"/>
          <w:kern w:val="2"/>
          <w:sz w:val="24"/>
          <w:szCs w:val="24"/>
          <w:highlight w:val="none"/>
        </w:rPr>
        <w:t>1.1发往全国各地的快件：</w:t>
      </w:r>
      <w:r>
        <w:rPr>
          <w:rFonts w:hint="eastAsia" w:ascii="宋体" w:hAnsi="宋体" w:cs="宋体"/>
          <w:kern w:val="2"/>
          <w:sz w:val="24"/>
          <w:szCs w:val="24"/>
          <w:highlight w:val="none"/>
          <w:lang w:val="en-US" w:eastAsia="zh-CN"/>
        </w:rPr>
        <w:t>广东省</w:t>
      </w:r>
      <w:r>
        <w:rPr>
          <w:rFonts w:hint="eastAsia" w:ascii="宋体" w:hAnsi="宋体" w:cs="宋体"/>
          <w:kern w:val="2"/>
          <w:sz w:val="24"/>
          <w:szCs w:val="24"/>
          <w:highlight w:val="none"/>
        </w:rPr>
        <w:t>内件</w:t>
      </w:r>
      <w:r>
        <w:rPr>
          <w:rFonts w:hint="eastAsia" w:ascii="宋体" w:hAnsi="宋体" w:cs="宋体"/>
          <w:kern w:val="2"/>
          <w:sz w:val="24"/>
          <w:szCs w:val="24"/>
          <w:highlight w:val="none"/>
          <w:lang w:val="en-US" w:eastAsia="zh-CN"/>
        </w:rPr>
        <w:t>48</w:t>
      </w:r>
      <w:r>
        <w:rPr>
          <w:rFonts w:hint="eastAsia" w:ascii="宋体" w:hAnsi="宋体" w:cs="宋体"/>
          <w:kern w:val="2"/>
          <w:sz w:val="24"/>
          <w:szCs w:val="24"/>
          <w:highlight w:val="none"/>
        </w:rPr>
        <w:t>小时内到达</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其中英德市区当天上午12:00前寄当天22:00前到达，上午12:00后寄次日12:00前到达</w:t>
      </w:r>
      <w:r>
        <w:rPr>
          <w:rFonts w:hint="eastAsia" w:ascii="宋体" w:hAnsi="宋体" w:cs="宋体"/>
          <w:kern w:val="2"/>
          <w:sz w:val="24"/>
          <w:szCs w:val="24"/>
          <w:highlight w:val="none"/>
        </w:rPr>
        <w:t>；省外件</w:t>
      </w:r>
      <w:r>
        <w:rPr>
          <w:rFonts w:hint="eastAsia" w:ascii="宋体" w:hAnsi="宋体" w:cs="宋体"/>
          <w:kern w:val="2"/>
          <w:sz w:val="24"/>
          <w:szCs w:val="24"/>
          <w:highlight w:val="none"/>
          <w:lang w:val="en-US" w:eastAsia="zh-CN"/>
        </w:rPr>
        <w:t>72</w:t>
      </w:r>
      <w:r>
        <w:rPr>
          <w:rFonts w:hint="eastAsia" w:ascii="宋体" w:hAnsi="宋体" w:cs="宋体"/>
          <w:kern w:val="2"/>
          <w:sz w:val="24"/>
          <w:szCs w:val="24"/>
          <w:highlight w:val="none"/>
        </w:rPr>
        <w:t>小时内到达（偏远地区在以上派送时间基础上加半天或一天）；港澳周一至周五</w:t>
      </w:r>
      <w:r>
        <w:rPr>
          <w:rFonts w:hint="eastAsia" w:ascii="宋体" w:hAnsi="宋体" w:cs="宋体"/>
          <w:kern w:val="2"/>
          <w:sz w:val="24"/>
          <w:szCs w:val="24"/>
          <w:highlight w:val="none"/>
          <w:lang w:val="en-US" w:eastAsia="zh-CN"/>
        </w:rPr>
        <w:t>48小时内</w:t>
      </w:r>
      <w:r>
        <w:rPr>
          <w:rFonts w:hint="eastAsia" w:ascii="宋体" w:hAnsi="宋体" w:cs="宋体"/>
          <w:kern w:val="2"/>
          <w:sz w:val="24"/>
          <w:szCs w:val="24"/>
          <w:highlight w:val="none"/>
        </w:rPr>
        <w:t>到，台湾地区最迟五天内到达。</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1.2每天至少寄出2次，上午和下午分别1次，当天所有快件全部寄出。</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1.3特殊紧急件可以走快速通道，具体要求如下：</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w:t>
      </w:r>
      <w:r>
        <w:rPr>
          <w:rFonts w:hint="eastAsia" w:ascii="宋体" w:hAnsi="宋体" w:cs="宋体"/>
          <w:kern w:val="2"/>
          <w:sz w:val="24"/>
          <w:szCs w:val="24"/>
          <w:highlight w:val="none"/>
          <w:lang w:val="en-US" w:eastAsia="zh-CN"/>
        </w:rPr>
        <w:t>英德</w:t>
      </w:r>
      <w:r>
        <w:rPr>
          <w:rFonts w:hint="eastAsia" w:ascii="宋体" w:hAnsi="宋体" w:cs="宋体"/>
          <w:kern w:val="2"/>
          <w:sz w:val="24"/>
          <w:szCs w:val="24"/>
          <w:highlight w:val="none"/>
        </w:rPr>
        <w:t>市内地区：当天上午寄出下午6点前到；</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（2）广东省内地区：当天下午寄出明天中午12点前到。</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1.4</w:t>
      </w:r>
      <w:bookmarkStart w:id="0" w:name="_Hlk130972294"/>
      <w:r>
        <w:rPr>
          <w:rFonts w:hint="eastAsia" w:ascii="宋体" w:hAnsi="宋体" w:cs="宋体"/>
          <w:kern w:val="2"/>
          <w:sz w:val="24"/>
          <w:szCs w:val="24"/>
          <w:highlight w:val="none"/>
        </w:rPr>
        <w:t>为保证快件不受运力、运输等主观因素影响，</w:t>
      </w:r>
      <w:r>
        <w:rPr>
          <w:rFonts w:hint="eastAsia" w:ascii="宋体" w:hAnsi="宋体" w:cs="宋体"/>
          <w:b/>
          <w:kern w:val="2"/>
          <w:sz w:val="24"/>
          <w:szCs w:val="24"/>
          <w:highlight w:val="none"/>
        </w:rPr>
        <w:t>必须配有自营货运汽车等完善运输线路及具有与航空、铁路部门签订物流运输合作协议</w:t>
      </w:r>
      <w:r>
        <w:rPr>
          <w:rFonts w:hint="eastAsia" w:ascii="宋体" w:hAnsi="宋体" w:cs="宋体"/>
          <w:kern w:val="2"/>
          <w:sz w:val="24"/>
          <w:szCs w:val="24"/>
          <w:highlight w:val="none"/>
        </w:rPr>
        <w:t>。（需提供飞机清单及飞机编号证明文件或其他合法证明文件复印件，提供冷藏车辆清单及车辆行驶证复印件）</w:t>
      </w:r>
    </w:p>
    <w:p>
      <w:pPr>
        <w:pStyle w:val="11"/>
        <w:ind w:left="142" w:firstLine="424" w:firstLineChars="177"/>
        <w:rPr>
          <w:highlight w:val="none"/>
        </w:rPr>
      </w:pPr>
      <w:r>
        <w:rPr>
          <w:rFonts w:hint="eastAsia"/>
          <w:highlight w:val="none"/>
        </w:rPr>
        <w:t>如所提供材料为其控股母公司或控股子公司的，应出具两者间的控股关系证明材料，并加盖双方公章。</w:t>
      </w:r>
    </w:p>
    <w:bookmarkEnd w:id="0"/>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1.5承诺</w:t>
      </w:r>
      <w:r>
        <w:rPr>
          <w:rFonts w:hint="eastAsia" w:ascii="宋体" w:hAnsi="宋体" w:cs="宋体"/>
          <w:kern w:val="2"/>
          <w:sz w:val="24"/>
          <w:szCs w:val="24"/>
          <w:highlight w:val="none"/>
          <w:lang w:eastAsia="zh-CN"/>
        </w:rPr>
        <w:t>一年</w:t>
      </w:r>
      <w:r>
        <w:rPr>
          <w:rFonts w:hint="eastAsia" w:ascii="宋体" w:hAnsi="宋体" w:cs="宋体"/>
          <w:kern w:val="2"/>
          <w:sz w:val="24"/>
          <w:szCs w:val="24"/>
          <w:highlight w:val="none"/>
        </w:rPr>
        <w:t>365天，不分节假日提供服务。</w:t>
      </w:r>
    </w:p>
    <w:p>
      <w:pPr>
        <w:pStyle w:val="9"/>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2、安全性</w:t>
      </w:r>
    </w:p>
    <w:p>
      <w:pPr>
        <w:pStyle w:val="10"/>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成交供应商应建立完备的安全保障机制，确保寄递安全和用户信息安全。</w:t>
      </w:r>
    </w:p>
    <w:p>
      <w:pPr>
        <w:pStyle w:val="10"/>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3、</w:t>
      </w:r>
      <w:r>
        <w:rPr>
          <w:rFonts w:hint="eastAsia" w:ascii="宋体" w:hAnsi="宋体" w:cs="宋体"/>
          <w:b/>
          <w:kern w:val="2"/>
          <w:sz w:val="24"/>
          <w:szCs w:val="24"/>
          <w:highlight w:val="none"/>
        </w:rPr>
        <w:t>方便性</w:t>
      </w:r>
    </w:p>
    <w:p>
      <w:pPr>
        <w:pStyle w:val="10"/>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成交供应商在设置服务场所、安排营业时间等方面，以及在收寄、投递、查询、投诉处理等环节，应根据委托方需求，以便为用户服务。</w:t>
      </w:r>
    </w:p>
    <w:p>
      <w:pPr>
        <w:pStyle w:val="10"/>
        <w:spacing w:line="360" w:lineRule="auto"/>
        <w:ind w:firstLine="482" w:firstLineChars="200"/>
        <w:rPr>
          <w:rFonts w:ascii="宋体" w:hAnsi="宋体" w:cs="宋体"/>
          <w:b/>
          <w:kern w:val="2"/>
          <w:sz w:val="24"/>
          <w:szCs w:val="24"/>
          <w:highlight w:val="none"/>
        </w:rPr>
      </w:pPr>
      <w:r>
        <w:rPr>
          <w:rFonts w:hint="eastAsia" w:ascii="宋体" w:hAnsi="宋体" w:cs="宋体"/>
          <w:b/>
          <w:kern w:val="2"/>
          <w:sz w:val="24"/>
          <w:szCs w:val="24"/>
          <w:highlight w:val="none"/>
        </w:rPr>
        <w:t>4、操作规范性</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4.1保护性包装纸质文件、资料，使其到达收件人手中无破损无明显折痕；</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4.2快件称重准确到小数点后一位。</w:t>
      </w:r>
    </w:p>
    <w:p>
      <w:pPr>
        <w:pStyle w:val="9"/>
        <w:spacing w:line="360" w:lineRule="auto"/>
        <w:ind w:firstLine="482"/>
        <w:rPr>
          <w:rFonts w:ascii="宋体" w:hAnsi="宋体" w:cs="宋体"/>
          <w:b/>
          <w:kern w:val="2"/>
          <w:sz w:val="24"/>
          <w:szCs w:val="24"/>
          <w:highlight w:val="none"/>
        </w:rPr>
      </w:pPr>
      <w:r>
        <w:rPr>
          <w:rFonts w:hint="eastAsia" w:ascii="宋体" w:hAnsi="宋体" w:cs="宋体"/>
          <w:b/>
          <w:bCs/>
          <w:kern w:val="2"/>
          <w:sz w:val="24"/>
          <w:szCs w:val="24"/>
          <w:highlight w:val="none"/>
        </w:rPr>
        <w:t>5、人员管理</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5.1根据实际工作需要每天</w:t>
      </w:r>
      <w:r>
        <w:rPr>
          <w:rFonts w:hint="eastAsia" w:ascii="宋体" w:hAnsi="宋体" w:cs="宋体"/>
          <w:kern w:val="2"/>
          <w:sz w:val="24"/>
          <w:szCs w:val="24"/>
          <w:highlight w:val="none"/>
          <w:lang w:val="en-US" w:eastAsia="zh-CN"/>
        </w:rPr>
        <w:t>安排专业人员</w:t>
      </w:r>
      <w:r>
        <w:rPr>
          <w:rFonts w:hint="eastAsia" w:ascii="宋体" w:hAnsi="宋体" w:cs="宋体"/>
          <w:kern w:val="2"/>
          <w:sz w:val="24"/>
          <w:szCs w:val="24"/>
          <w:highlight w:val="none"/>
        </w:rPr>
        <w:t>收、派</w:t>
      </w:r>
      <w:r>
        <w:rPr>
          <w:rFonts w:hint="eastAsia" w:ascii="宋体" w:hAnsi="宋体" w:cs="宋体"/>
          <w:kern w:val="2"/>
          <w:sz w:val="24"/>
          <w:szCs w:val="24"/>
          <w:highlight w:val="none"/>
          <w:lang w:val="en-US" w:eastAsia="zh-CN"/>
        </w:rPr>
        <w:t>件</w:t>
      </w:r>
      <w:r>
        <w:rPr>
          <w:rFonts w:hint="eastAsia" w:ascii="宋体" w:hAnsi="宋体" w:cs="宋体"/>
          <w:kern w:val="2"/>
          <w:sz w:val="24"/>
          <w:szCs w:val="24"/>
          <w:highlight w:val="none"/>
        </w:rPr>
        <w:t>，不</w:t>
      </w:r>
      <w:r>
        <w:rPr>
          <w:rFonts w:hint="eastAsia" w:ascii="宋体" w:hAnsi="宋体" w:cs="宋体"/>
          <w:kern w:val="2"/>
          <w:sz w:val="24"/>
          <w:szCs w:val="24"/>
          <w:highlight w:val="none"/>
          <w:lang w:val="en-US" w:eastAsia="zh-CN"/>
        </w:rPr>
        <w:t>得</w:t>
      </w:r>
      <w:r>
        <w:rPr>
          <w:rFonts w:hint="eastAsia" w:ascii="宋体" w:hAnsi="宋体" w:cs="宋体"/>
          <w:kern w:val="2"/>
          <w:sz w:val="24"/>
          <w:szCs w:val="24"/>
          <w:highlight w:val="none"/>
        </w:rPr>
        <w:t>使用试工、实习工和兼职工，当件数较多时要增加相应人员。</w:t>
      </w:r>
    </w:p>
    <w:p>
      <w:pPr>
        <w:pStyle w:val="12"/>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5.2负责核对寄件快件上寄送信息。</w:t>
      </w:r>
    </w:p>
    <w:p>
      <w:pPr>
        <w:pStyle w:val="12"/>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5.3服装要求：负责收寄的快件服务人员应统一穿着具有组织标识的服装，并佩戴工号牌或胸卡。</w:t>
      </w:r>
    </w:p>
    <w:p>
      <w:pPr>
        <w:pStyle w:val="12"/>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5.4本项目建立专业的项目管理团队，不少于</w:t>
      </w:r>
      <w:r>
        <w:rPr>
          <w:rFonts w:hint="eastAsia" w:ascii="宋体" w:hAnsi="宋体" w:cs="宋体"/>
          <w:kern w:val="2"/>
          <w:sz w:val="24"/>
          <w:szCs w:val="24"/>
          <w:highlight w:val="none"/>
          <w:lang w:val="en-US" w:eastAsia="zh-CN"/>
        </w:rPr>
        <w:t>1</w:t>
      </w:r>
      <w:r>
        <w:rPr>
          <w:rFonts w:hint="eastAsia" w:ascii="宋体" w:hAnsi="宋体" w:cs="宋体"/>
          <w:kern w:val="2"/>
          <w:sz w:val="24"/>
          <w:szCs w:val="24"/>
          <w:highlight w:val="none"/>
        </w:rPr>
        <w:t>名有医药相关专业的管理人员（</w:t>
      </w:r>
      <w:r>
        <w:rPr>
          <w:rFonts w:hint="eastAsia" w:ascii="宋体" w:hAnsi="宋体" w:cs="宋体"/>
          <w:kern w:val="2"/>
          <w:sz w:val="24"/>
          <w:szCs w:val="24"/>
          <w:highlight w:val="none"/>
          <w:lang w:val="en-US" w:eastAsia="zh-CN"/>
        </w:rPr>
        <w:t>初级药师</w:t>
      </w:r>
      <w:r>
        <w:rPr>
          <w:rFonts w:hint="eastAsia" w:ascii="宋体" w:hAnsi="宋体" w:cs="宋体"/>
          <w:kern w:val="2"/>
          <w:sz w:val="24"/>
          <w:szCs w:val="24"/>
          <w:highlight w:val="none"/>
        </w:rPr>
        <w:t>以上含</w:t>
      </w:r>
      <w:r>
        <w:rPr>
          <w:rFonts w:hint="eastAsia" w:ascii="宋体" w:hAnsi="宋体" w:cs="宋体"/>
          <w:kern w:val="2"/>
          <w:sz w:val="24"/>
          <w:szCs w:val="24"/>
          <w:highlight w:val="none"/>
          <w:lang w:val="en-US" w:eastAsia="zh-CN"/>
        </w:rPr>
        <w:t>药师</w:t>
      </w:r>
      <w:r>
        <w:rPr>
          <w:rFonts w:hint="eastAsia" w:ascii="宋体" w:hAnsi="宋体" w:cs="宋体"/>
          <w:kern w:val="2"/>
          <w:sz w:val="24"/>
          <w:szCs w:val="24"/>
          <w:highlight w:val="none"/>
        </w:rPr>
        <w:t>或执业药师）。</w:t>
      </w:r>
    </w:p>
    <w:p>
      <w:pPr>
        <w:pStyle w:val="12"/>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6、</w:t>
      </w:r>
      <w:r>
        <w:rPr>
          <w:rFonts w:hint="eastAsia" w:ascii="宋体" w:hAnsi="宋体" w:cs="宋体"/>
          <w:b/>
          <w:kern w:val="2"/>
          <w:sz w:val="24"/>
          <w:szCs w:val="24"/>
          <w:highlight w:val="none"/>
        </w:rPr>
        <w:t>冷链管理</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6.1提供一定数量的符合规定且经过验证的冷链设备（需提供冷链设备购置证明复印），并提供相应设备预处理及货物包装服务，协助运输有温度要求的货品。</w:t>
      </w:r>
    </w:p>
    <w:p>
      <w:pPr>
        <w:pStyle w:val="9"/>
        <w:spacing w:line="360" w:lineRule="auto"/>
        <w:ind w:firstLine="480"/>
        <w:rPr>
          <w:rFonts w:hint="eastAsia" w:ascii="宋体" w:hAnsi="宋体" w:cs="宋体"/>
          <w:kern w:val="2"/>
          <w:sz w:val="24"/>
          <w:szCs w:val="24"/>
          <w:highlight w:val="none"/>
        </w:rPr>
      </w:pPr>
      <w:r>
        <w:rPr>
          <w:rFonts w:hint="eastAsia" w:ascii="宋体" w:hAnsi="宋体" w:cs="宋体"/>
          <w:kern w:val="2"/>
          <w:sz w:val="24"/>
          <w:szCs w:val="24"/>
          <w:highlight w:val="none"/>
        </w:rPr>
        <w:t>6.2在运输途中应定时监控温度，发现异常情况须及时通知甲方并采取措施防止损失发生，保证运输货物的安全，并可提供全过程温度数据。</w:t>
      </w:r>
    </w:p>
    <w:p>
      <w:pPr>
        <w:pStyle w:val="9"/>
        <w:spacing w:line="360" w:lineRule="auto"/>
        <w:ind w:firstLine="480"/>
        <w:rPr>
          <w:rFonts w:hint="default"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6.3必须配有自营冷藏车和相应的温控箱设备。（需提供冷藏车辆清单及车辆行驶证复印件，温控箱购置证明复印件）</w:t>
      </w:r>
    </w:p>
    <w:p>
      <w:pPr>
        <w:pStyle w:val="9"/>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7、信息上传及查询</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7.1快件收寄后，成交供应商应及时录入收寄信息并按规定上传网络。</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7.2成交供应商应根据业务种类向顾客提供电话或互联网等免费查询渠道或其他可进行电脑、手机等终端操作的系统对接设备，用户可凭借快件运单号码进行全程跟踪查询，可查询到快件当前所处服务环节及所在位置。</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7.3快件的互联网查询时间应为一周7天，每天24h；快件电话人工查询受理时间应为一周7天，每天应不少于8h。对于用户电话查询的快件，成交供应商应在30min内告知用户。</w:t>
      </w:r>
    </w:p>
    <w:p>
      <w:pPr>
        <w:pStyle w:val="9"/>
        <w:spacing w:line="360" w:lineRule="auto"/>
        <w:ind w:firstLine="480"/>
        <w:rPr>
          <w:rFonts w:hint="eastAsia" w:ascii="宋体" w:hAnsi="宋体" w:cs="宋体"/>
          <w:kern w:val="2"/>
          <w:sz w:val="24"/>
          <w:szCs w:val="24"/>
          <w:highlight w:val="none"/>
        </w:rPr>
      </w:pPr>
      <w:r>
        <w:rPr>
          <w:rFonts w:hint="eastAsia" w:ascii="宋体" w:hAnsi="宋体" w:cs="宋体"/>
          <w:kern w:val="2"/>
          <w:sz w:val="24"/>
          <w:szCs w:val="24"/>
          <w:highlight w:val="none"/>
        </w:rPr>
        <w:t>7.4国内快件查询有效期应不少于1年。</w:t>
      </w:r>
    </w:p>
    <w:p>
      <w:pPr>
        <w:pStyle w:val="11"/>
        <w:rPr>
          <w:rFonts w:hint="default" w:eastAsia="宋体"/>
          <w:highlight w:val="none"/>
          <w:lang w:val="en-US" w:eastAsia="zh-CN"/>
        </w:rPr>
      </w:pPr>
      <w:r>
        <w:rPr>
          <w:rFonts w:hint="eastAsia" w:cs="宋体"/>
          <w:kern w:val="2"/>
          <w:sz w:val="24"/>
          <w:szCs w:val="24"/>
          <w:highlight w:val="none"/>
          <w:lang w:val="en-US" w:eastAsia="zh-CN"/>
        </w:rPr>
        <w:t>7.5提供快递服务信息的API接口，以便医院相关程序关联查询和调用。</w:t>
      </w:r>
    </w:p>
    <w:p>
      <w:pPr>
        <w:pStyle w:val="9"/>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8、无法投递快件</w:t>
      </w:r>
    </w:p>
    <w:p>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成交供应商应在投递前联系收件人，当出现快件无法投递情况时，应采取以下措施：</w:t>
      </w:r>
    </w:p>
    <w:p>
      <w:pPr>
        <w:pStyle w:val="9"/>
        <w:numPr>
          <w:ilvl w:val="1"/>
          <w:numId w:val="1"/>
        </w:numPr>
        <w:spacing w:line="360" w:lineRule="auto"/>
        <w:ind w:left="0" w:firstLine="420" w:firstLineChars="0"/>
        <w:rPr>
          <w:rFonts w:ascii="宋体" w:hAnsi="宋体" w:cs="宋体"/>
          <w:kern w:val="2"/>
          <w:sz w:val="24"/>
          <w:szCs w:val="24"/>
          <w:highlight w:val="none"/>
        </w:rPr>
      </w:pPr>
      <w:r>
        <w:rPr>
          <w:rFonts w:hint="eastAsia" w:ascii="宋体" w:hAnsi="宋体" w:cs="宋体"/>
          <w:kern w:val="2"/>
          <w:sz w:val="24"/>
          <w:szCs w:val="24"/>
          <w:highlight w:val="none"/>
        </w:rPr>
        <w:t>首次无法投递时，应主动联系收件人，通知复投的时间及联系方法，若未联系到收件人，可在收件地点留下派送通知单，将复投的时间及联系方法等相关信息告知收件人；</w:t>
      </w:r>
    </w:p>
    <w:p>
      <w:pPr>
        <w:pStyle w:val="9"/>
        <w:numPr>
          <w:ilvl w:val="1"/>
          <w:numId w:val="1"/>
        </w:numPr>
        <w:spacing w:line="360" w:lineRule="auto"/>
        <w:ind w:left="0" w:firstLine="420" w:firstLineChars="0"/>
        <w:rPr>
          <w:rFonts w:ascii="宋体" w:hAnsi="宋体" w:cs="宋体"/>
          <w:kern w:val="2"/>
          <w:sz w:val="24"/>
          <w:szCs w:val="24"/>
          <w:highlight w:val="none"/>
        </w:rPr>
      </w:pPr>
      <w:r>
        <w:rPr>
          <w:rFonts w:hint="eastAsia" w:ascii="宋体" w:hAnsi="宋体" w:cs="宋体"/>
          <w:kern w:val="2"/>
          <w:sz w:val="24"/>
          <w:szCs w:val="24"/>
          <w:highlight w:val="none"/>
        </w:rPr>
        <w:t>复投仍无法投递，可通知收件人采用自取的方式，并告知收件人自取的地点和工作时间。收件人仍需要投递的，成交供应商可提供相关服务，但应事先告知收件人收费标准和服务费用；</w:t>
      </w:r>
    </w:p>
    <w:p>
      <w:pPr>
        <w:pStyle w:val="9"/>
        <w:numPr>
          <w:ilvl w:val="1"/>
          <w:numId w:val="1"/>
        </w:numPr>
        <w:spacing w:line="360" w:lineRule="auto"/>
        <w:ind w:left="0" w:firstLine="420" w:firstLineChars="0"/>
        <w:rPr>
          <w:rFonts w:ascii="宋体" w:hAnsi="宋体" w:cs="宋体"/>
          <w:kern w:val="2"/>
          <w:sz w:val="24"/>
          <w:szCs w:val="24"/>
          <w:highlight w:val="none"/>
        </w:rPr>
      </w:pPr>
      <w:r>
        <w:rPr>
          <w:rFonts w:hint="eastAsia" w:ascii="宋体" w:hAnsi="宋体" w:cs="宋体"/>
          <w:kern w:val="2"/>
          <w:sz w:val="24"/>
          <w:szCs w:val="24"/>
          <w:highlight w:val="none"/>
        </w:rPr>
        <w:t>若联系不到收件人，或收件人拒收快件，成交供应商应在彻底延误时限到达之前电话通知寄件人，协商处理办法。</w:t>
      </w:r>
    </w:p>
    <w:p>
      <w:pPr>
        <w:pStyle w:val="9"/>
        <w:numPr>
          <w:ilvl w:val="0"/>
          <w:numId w:val="2"/>
        </w:numPr>
        <w:spacing w:line="360" w:lineRule="auto"/>
        <w:ind w:firstLineChars="0"/>
        <w:rPr>
          <w:rFonts w:ascii="宋体" w:hAnsi="宋体" w:cs="宋体"/>
          <w:b/>
          <w:kern w:val="2"/>
          <w:sz w:val="24"/>
          <w:szCs w:val="24"/>
          <w:highlight w:val="none"/>
        </w:rPr>
      </w:pPr>
      <w:r>
        <w:rPr>
          <w:rFonts w:hint="eastAsia" w:ascii="宋体" w:hAnsi="宋体" w:cs="宋体"/>
          <w:b/>
          <w:kern w:val="2"/>
          <w:sz w:val="24"/>
          <w:szCs w:val="24"/>
          <w:highlight w:val="none"/>
        </w:rPr>
        <w:t>档案的保存期限</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9.1国内快件运单的实物保存期限，应满足快件纠纷及赔偿处理的需要，宜不少于1年，相应的电子档案保存期限不应少于2年。</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9.2国际快件、港澳台快件运单的实物保存期限不应少于6个月。其他档案的保存期限应满足相关法律法规要求。</w:t>
      </w:r>
    </w:p>
    <w:p>
      <w:pPr>
        <w:pStyle w:val="9"/>
        <w:spacing w:line="360" w:lineRule="auto"/>
        <w:ind w:left="482" w:firstLine="0" w:firstLineChars="0"/>
        <w:rPr>
          <w:rFonts w:ascii="宋体" w:hAnsi="宋体" w:cs="宋体"/>
          <w:b/>
          <w:kern w:val="2"/>
          <w:sz w:val="24"/>
          <w:szCs w:val="24"/>
          <w:highlight w:val="none"/>
        </w:rPr>
      </w:pPr>
      <w:r>
        <w:rPr>
          <w:rFonts w:hint="eastAsia" w:ascii="宋体" w:hAnsi="宋体" w:cs="宋体"/>
          <w:b/>
          <w:kern w:val="2"/>
          <w:sz w:val="24"/>
          <w:szCs w:val="24"/>
          <w:highlight w:val="none"/>
        </w:rPr>
        <w:t>10、投诉与申诉</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10.1成交供应商收到采购人投诉时，应对投诉信息进行分析，提出处理方案，制定补救措施，按服务承诺及时处理。</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10.2投诉处理完毕，成交供应商应在处理时限内及时将处理结果告知采购人。</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10.3若采购人对处理结果不满意，成交供应商应告知其他可用的处理方式。</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10.4成交供应商应根据投诉信息统计分析结果，采取措施改进服务质量。</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10.5采购人向成交供应商投诉后30个日历天未作出答复的，或对成交供应商处理和答复不满意的，可向</w:t>
      </w:r>
      <w:r>
        <w:rPr>
          <w:rFonts w:hint="eastAsia" w:ascii="宋体" w:hAnsi="宋体" w:cs="宋体"/>
          <w:kern w:val="2"/>
          <w:sz w:val="24"/>
          <w:szCs w:val="24"/>
          <w:highlight w:val="none"/>
          <w:lang w:val="en-US" w:eastAsia="zh-CN"/>
        </w:rPr>
        <w:t>上级</w:t>
      </w:r>
      <w:r>
        <w:rPr>
          <w:rFonts w:hint="eastAsia" w:ascii="宋体" w:hAnsi="宋体" w:cs="宋体"/>
          <w:kern w:val="2"/>
          <w:sz w:val="24"/>
          <w:szCs w:val="24"/>
          <w:highlight w:val="none"/>
        </w:rPr>
        <w:t>管理部门提出申诉。</w:t>
      </w:r>
    </w:p>
    <w:p>
      <w:pPr>
        <w:pStyle w:val="9"/>
        <w:spacing w:line="360" w:lineRule="auto"/>
        <w:ind w:left="482" w:firstLine="0" w:firstLineChars="0"/>
        <w:rPr>
          <w:rFonts w:ascii="宋体" w:hAnsi="宋体" w:cs="宋体"/>
          <w:b/>
          <w:kern w:val="2"/>
          <w:sz w:val="24"/>
          <w:szCs w:val="24"/>
          <w:highlight w:val="none"/>
        </w:rPr>
      </w:pPr>
      <w:r>
        <w:rPr>
          <w:rFonts w:hint="eastAsia" w:ascii="宋体" w:hAnsi="宋体" w:cs="宋体"/>
          <w:b/>
          <w:kern w:val="2"/>
          <w:sz w:val="24"/>
          <w:szCs w:val="24"/>
          <w:highlight w:val="none"/>
        </w:rPr>
        <w:t>11、赔偿</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11.1在寄递过程中，发生延误、丢失、毁损、浸泡、内件不符时，成交供应商应按实际价值予以赔偿，并在投标方案中注明赔付方式；</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11.2采购人发现成交供应商恶意骗取邮寄费时，有权要求成交供应商赔偿、作出书面说明及承诺，有权要求更换服务人员，有权单方面解除与成交供应商的合作合同。</w:t>
      </w:r>
    </w:p>
    <w:p>
      <w:pPr>
        <w:pStyle w:val="9"/>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1</w:t>
      </w:r>
      <w:r>
        <w:rPr>
          <w:rFonts w:hint="eastAsia" w:ascii="宋体" w:hAnsi="宋体" w:cs="宋体"/>
          <w:b/>
          <w:kern w:val="2"/>
          <w:sz w:val="24"/>
          <w:szCs w:val="24"/>
          <w:highlight w:val="none"/>
          <w:lang w:val="en-US" w:eastAsia="zh-CN"/>
        </w:rPr>
        <w:t>2</w:t>
      </w:r>
      <w:r>
        <w:rPr>
          <w:rFonts w:hint="eastAsia" w:ascii="宋体" w:hAnsi="宋体" w:cs="宋体"/>
          <w:b/>
          <w:kern w:val="2"/>
          <w:sz w:val="24"/>
          <w:szCs w:val="24"/>
          <w:highlight w:val="none"/>
        </w:rPr>
        <w:t>、质量要求</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w:t>
      </w:r>
      <w:r>
        <w:rPr>
          <w:rFonts w:hint="eastAsia" w:ascii="宋体" w:hAnsi="宋体" w:cs="宋体"/>
          <w:kern w:val="2"/>
          <w:sz w:val="24"/>
          <w:szCs w:val="24"/>
          <w:highlight w:val="none"/>
          <w:lang w:val="en-US" w:eastAsia="zh-CN"/>
        </w:rPr>
        <w:t>2</w:t>
      </w:r>
      <w:r>
        <w:rPr>
          <w:rFonts w:hint="eastAsia" w:ascii="宋体" w:hAnsi="宋体" w:cs="宋体"/>
          <w:kern w:val="2"/>
          <w:sz w:val="24"/>
          <w:szCs w:val="24"/>
          <w:highlight w:val="none"/>
        </w:rPr>
        <w:t>.1配送药品、器械的人员必须经过相关操作培训。</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w:t>
      </w:r>
      <w:r>
        <w:rPr>
          <w:rFonts w:hint="eastAsia" w:ascii="宋体" w:hAnsi="宋体" w:cs="宋体"/>
          <w:kern w:val="2"/>
          <w:sz w:val="24"/>
          <w:szCs w:val="24"/>
          <w:highlight w:val="none"/>
          <w:lang w:val="en-US" w:eastAsia="zh-CN"/>
        </w:rPr>
        <w:t>2</w:t>
      </w:r>
      <w:r>
        <w:rPr>
          <w:rFonts w:hint="eastAsia" w:ascii="宋体" w:hAnsi="宋体" w:cs="宋体"/>
          <w:kern w:val="2"/>
          <w:sz w:val="24"/>
          <w:szCs w:val="24"/>
          <w:highlight w:val="none"/>
        </w:rPr>
        <w:t>.2配送药品、器械的车辆必须采用密闭厢式运输车辆运输，并能在实时运输过程中监控温度。</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w:t>
      </w:r>
      <w:r>
        <w:rPr>
          <w:rFonts w:hint="eastAsia" w:ascii="宋体" w:hAnsi="宋体" w:cs="宋体"/>
          <w:kern w:val="2"/>
          <w:sz w:val="24"/>
          <w:szCs w:val="24"/>
          <w:highlight w:val="none"/>
          <w:lang w:val="en-US" w:eastAsia="zh-CN"/>
        </w:rPr>
        <w:t>2</w:t>
      </w:r>
      <w:r>
        <w:rPr>
          <w:rFonts w:hint="eastAsia" w:ascii="宋体" w:hAnsi="宋体" w:cs="宋体"/>
          <w:kern w:val="2"/>
          <w:sz w:val="24"/>
          <w:szCs w:val="24"/>
          <w:highlight w:val="none"/>
        </w:rPr>
        <w:t>.3运输冷藏品的保温箱和冷藏车必须经过温度验证合格，用于监控温度的温度计必须经过法定计量单位校准合格后方能使用。</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w:t>
      </w:r>
      <w:r>
        <w:rPr>
          <w:rFonts w:hint="eastAsia" w:ascii="宋体" w:hAnsi="宋体" w:cs="宋体"/>
          <w:kern w:val="2"/>
          <w:sz w:val="24"/>
          <w:szCs w:val="24"/>
          <w:highlight w:val="none"/>
          <w:lang w:val="en-US" w:eastAsia="zh-CN"/>
        </w:rPr>
        <w:t>2</w:t>
      </w:r>
      <w:r>
        <w:rPr>
          <w:rFonts w:hint="eastAsia" w:ascii="宋体" w:hAnsi="宋体" w:cs="宋体"/>
          <w:kern w:val="2"/>
          <w:sz w:val="24"/>
          <w:szCs w:val="24"/>
          <w:highlight w:val="none"/>
        </w:rPr>
        <w:t>.5如配送过程中出现异常或偏差的，必须第一时间上报</w:t>
      </w:r>
      <w:r>
        <w:rPr>
          <w:rFonts w:hint="eastAsia" w:ascii="宋体" w:hAnsi="宋体" w:cs="宋体"/>
          <w:kern w:val="2"/>
          <w:sz w:val="24"/>
          <w:szCs w:val="24"/>
          <w:highlight w:val="none"/>
          <w:lang w:eastAsia="zh-CN"/>
        </w:rPr>
        <w:t>甲方</w:t>
      </w:r>
      <w:r>
        <w:rPr>
          <w:rFonts w:hint="eastAsia" w:ascii="宋体" w:hAnsi="宋体" w:cs="宋体"/>
          <w:kern w:val="2"/>
          <w:sz w:val="24"/>
          <w:szCs w:val="24"/>
          <w:highlight w:val="none"/>
        </w:rPr>
        <w:t>。</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w:t>
      </w:r>
      <w:r>
        <w:rPr>
          <w:rFonts w:hint="eastAsia" w:ascii="宋体" w:hAnsi="宋体" w:cs="宋体"/>
          <w:kern w:val="2"/>
          <w:sz w:val="24"/>
          <w:szCs w:val="24"/>
          <w:highlight w:val="none"/>
          <w:lang w:val="en-US" w:eastAsia="zh-CN"/>
        </w:rPr>
        <w:t>2</w:t>
      </w:r>
      <w:r>
        <w:rPr>
          <w:rFonts w:hint="eastAsia" w:ascii="宋体" w:hAnsi="宋体" w:cs="宋体"/>
          <w:kern w:val="2"/>
          <w:sz w:val="24"/>
          <w:szCs w:val="24"/>
          <w:highlight w:val="none"/>
        </w:rPr>
        <w:t>.6每年需接受</w:t>
      </w:r>
      <w:r>
        <w:rPr>
          <w:rFonts w:hint="eastAsia" w:ascii="宋体" w:hAnsi="宋体" w:cs="宋体"/>
          <w:kern w:val="2"/>
          <w:sz w:val="24"/>
          <w:szCs w:val="24"/>
          <w:highlight w:val="none"/>
          <w:lang w:eastAsia="zh-CN"/>
        </w:rPr>
        <w:t>甲方</w:t>
      </w:r>
      <w:r>
        <w:rPr>
          <w:rFonts w:hint="eastAsia" w:ascii="宋体" w:hAnsi="宋体" w:cs="宋体"/>
          <w:kern w:val="2"/>
          <w:sz w:val="24"/>
          <w:szCs w:val="24"/>
          <w:highlight w:val="none"/>
        </w:rPr>
        <w:t>质量审计。</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w:t>
      </w:r>
      <w:r>
        <w:rPr>
          <w:rFonts w:hint="eastAsia" w:ascii="宋体" w:hAnsi="宋体" w:cs="宋体"/>
          <w:kern w:val="2"/>
          <w:sz w:val="24"/>
          <w:szCs w:val="24"/>
          <w:highlight w:val="none"/>
          <w:lang w:val="en-US" w:eastAsia="zh-CN"/>
        </w:rPr>
        <w:t>2</w:t>
      </w:r>
      <w:r>
        <w:rPr>
          <w:rFonts w:hint="eastAsia" w:ascii="宋体" w:hAnsi="宋体" w:cs="宋体"/>
          <w:kern w:val="2"/>
          <w:sz w:val="24"/>
          <w:szCs w:val="24"/>
          <w:highlight w:val="none"/>
        </w:rPr>
        <w:t>.7如公司出现重大变更的，需书面邮件通过</w:t>
      </w:r>
      <w:r>
        <w:rPr>
          <w:rFonts w:hint="eastAsia" w:ascii="宋体" w:hAnsi="宋体" w:cs="宋体"/>
          <w:kern w:val="2"/>
          <w:sz w:val="24"/>
          <w:szCs w:val="24"/>
          <w:highlight w:val="none"/>
          <w:lang w:eastAsia="zh-CN"/>
        </w:rPr>
        <w:t>甲方</w:t>
      </w:r>
      <w:r>
        <w:rPr>
          <w:rFonts w:hint="eastAsia" w:ascii="宋体" w:hAnsi="宋体" w:cs="宋体"/>
          <w:kern w:val="2"/>
          <w:sz w:val="24"/>
          <w:szCs w:val="24"/>
          <w:highlight w:val="none"/>
        </w:rPr>
        <w:t>。</w:t>
      </w:r>
    </w:p>
    <w:p>
      <w:pPr>
        <w:pStyle w:val="8"/>
        <w:spacing w:line="360" w:lineRule="auto"/>
        <w:ind w:firstLine="482" w:firstLineChars="200"/>
        <w:rPr>
          <w:rFonts w:ascii="宋体" w:hAnsi="宋体" w:eastAsia="宋体" w:cs="宋体"/>
          <w:b/>
          <w:bCs/>
          <w:kern w:val="2"/>
          <w:highlight w:val="none"/>
        </w:rPr>
      </w:pPr>
      <w:r>
        <w:rPr>
          <w:rFonts w:hint="eastAsia" w:ascii="宋体" w:hAnsi="宋体" w:eastAsia="宋体" w:cs="宋体"/>
          <w:b/>
          <w:bCs/>
          <w:kern w:val="2"/>
          <w:highlight w:val="none"/>
        </w:rPr>
        <w:t>1</w:t>
      </w:r>
      <w:r>
        <w:rPr>
          <w:rFonts w:hint="eastAsia" w:ascii="宋体" w:hAnsi="宋体" w:eastAsia="宋体" w:cs="宋体"/>
          <w:b/>
          <w:bCs/>
          <w:kern w:val="2"/>
          <w:highlight w:val="none"/>
          <w:lang w:val="en-US" w:eastAsia="zh-CN"/>
        </w:rPr>
        <w:t>3</w:t>
      </w:r>
      <w:r>
        <w:rPr>
          <w:rFonts w:hint="eastAsia" w:ascii="宋体" w:hAnsi="宋体" w:eastAsia="宋体" w:cs="宋体"/>
          <w:b/>
          <w:bCs/>
          <w:kern w:val="2"/>
          <w:highlight w:val="none"/>
        </w:rPr>
        <w:t>、仓库要求</w:t>
      </w:r>
    </w:p>
    <w:p>
      <w:pPr>
        <w:pStyle w:val="8"/>
        <w:spacing w:line="360" w:lineRule="auto"/>
        <w:ind w:left="372" w:leftChars="177" w:firstLine="426"/>
        <w:rPr>
          <w:rFonts w:ascii="宋体" w:hAnsi="宋体" w:eastAsia="宋体" w:cs="宋体"/>
          <w:kern w:val="2"/>
          <w:highlight w:val="none"/>
        </w:rPr>
      </w:pPr>
      <w:r>
        <w:rPr>
          <w:rFonts w:hint="eastAsia" w:ascii="宋体" w:hAnsi="宋体" w:eastAsia="宋体" w:cs="宋体"/>
          <w:kern w:val="2"/>
          <w:highlight w:val="none"/>
        </w:rPr>
        <w:t>仓库具有防尘、降温隔热、避光、防雨、防虫防鼠等措施。非自有产权需提供租赁合同和相关产权证明、平面图、百度地图定位、场所照片等。</w:t>
      </w:r>
    </w:p>
    <w:p>
      <w:pPr>
        <w:pStyle w:val="11"/>
        <w:spacing w:line="360" w:lineRule="auto"/>
        <w:ind w:firstLine="482"/>
        <w:rPr>
          <w:b/>
          <w:highlight w:val="none"/>
        </w:rPr>
      </w:pPr>
      <w:r>
        <w:rPr>
          <w:rFonts w:hint="eastAsia"/>
          <w:b/>
          <w:highlight w:val="none"/>
        </w:rPr>
        <w:t>1</w:t>
      </w:r>
      <w:r>
        <w:rPr>
          <w:rFonts w:hint="eastAsia"/>
          <w:b/>
          <w:highlight w:val="none"/>
          <w:lang w:val="en-US" w:eastAsia="zh-CN"/>
        </w:rPr>
        <w:t>4</w:t>
      </w:r>
      <w:r>
        <w:rPr>
          <w:rFonts w:hint="eastAsia"/>
          <w:b/>
          <w:highlight w:val="none"/>
        </w:rPr>
        <w:t>、异常处理要求</w:t>
      </w:r>
    </w:p>
    <w:p>
      <w:pPr>
        <w:pStyle w:val="11"/>
        <w:spacing w:line="360" w:lineRule="auto"/>
        <w:ind w:firstLine="480"/>
        <w:rPr>
          <w:highlight w:val="none"/>
        </w:rPr>
      </w:pPr>
      <w:bookmarkStart w:id="1" w:name="_Hlk130973353"/>
      <w:r>
        <w:rPr>
          <w:rFonts w:hint="eastAsia"/>
          <w:highlight w:val="none"/>
        </w:rPr>
        <w:t>投标人</w:t>
      </w:r>
      <w:bookmarkEnd w:id="1"/>
      <w:r>
        <w:rPr>
          <w:rFonts w:hint="eastAsia"/>
          <w:highlight w:val="none"/>
        </w:rPr>
        <w:t>具备跨区域异常处理问题的能力与资源，并同时快速响应。能根据异常问题属性建立不同的线上或线下处理机制，处理反应迅捷；货品破损赔付承诺处理方式，应建立全程专人对接，赔付简便快捷。</w:t>
      </w:r>
    </w:p>
    <w:p>
      <w:pPr>
        <w:pStyle w:val="9"/>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1</w:t>
      </w:r>
      <w:r>
        <w:rPr>
          <w:rFonts w:hint="eastAsia" w:ascii="宋体" w:hAnsi="宋体" w:cs="宋体"/>
          <w:b/>
          <w:kern w:val="2"/>
          <w:sz w:val="24"/>
          <w:szCs w:val="24"/>
          <w:highlight w:val="none"/>
          <w:lang w:val="en-US" w:eastAsia="zh-CN"/>
        </w:rPr>
        <w:t>5</w:t>
      </w:r>
      <w:r>
        <w:rPr>
          <w:rFonts w:hint="eastAsia" w:ascii="宋体" w:hAnsi="宋体" w:cs="宋体"/>
          <w:b/>
          <w:kern w:val="2"/>
          <w:sz w:val="24"/>
          <w:szCs w:val="24"/>
          <w:highlight w:val="none"/>
        </w:rPr>
        <w:t>、其他要求</w:t>
      </w:r>
    </w:p>
    <w:p>
      <w:pPr>
        <w:pStyle w:val="9"/>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 xml:space="preserve">成交供应商应免费提供快件运单、信封、胶袋、各种规格纸箱、编织袋等用于邮寄信件或物品。 </w:t>
      </w:r>
    </w:p>
    <w:p>
      <w:pPr>
        <w:pStyle w:val="9"/>
        <w:spacing w:line="360" w:lineRule="auto"/>
        <w:ind w:firstLine="482"/>
        <w:rPr>
          <w:rFonts w:ascii="宋体" w:hAnsi="宋体" w:cs="宋体"/>
          <w:kern w:val="2"/>
          <w:sz w:val="24"/>
          <w:szCs w:val="24"/>
          <w:highlight w:val="none"/>
        </w:rPr>
      </w:pPr>
      <w:r>
        <w:rPr>
          <w:rFonts w:hint="eastAsia" w:ascii="宋体" w:hAnsi="宋体" w:cs="宋体"/>
          <w:b/>
          <w:kern w:val="2"/>
          <w:sz w:val="24"/>
          <w:szCs w:val="24"/>
          <w:highlight w:val="none"/>
        </w:rPr>
        <w:t>1</w:t>
      </w:r>
      <w:r>
        <w:rPr>
          <w:rFonts w:hint="eastAsia" w:ascii="宋体" w:hAnsi="宋体" w:cs="宋体"/>
          <w:b/>
          <w:kern w:val="2"/>
          <w:sz w:val="24"/>
          <w:szCs w:val="24"/>
          <w:highlight w:val="none"/>
          <w:lang w:val="en-US" w:eastAsia="zh-CN"/>
        </w:rPr>
        <w:t>6</w:t>
      </w:r>
      <w:r>
        <w:rPr>
          <w:rFonts w:hint="eastAsia" w:ascii="宋体" w:hAnsi="宋体" w:cs="宋体"/>
          <w:b/>
          <w:kern w:val="2"/>
          <w:sz w:val="24"/>
          <w:szCs w:val="24"/>
          <w:highlight w:val="none"/>
        </w:rPr>
        <w:t>、其他未尽事宜</w:t>
      </w:r>
    </w:p>
    <w:p>
      <w:pPr>
        <w:pStyle w:val="8"/>
        <w:ind w:firstLine="480" w:firstLineChars="200"/>
        <w:rPr>
          <w:rFonts w:ascii="宋体" w:hAnsi="宋体" w:eastAsia="宋体" w:cs="宋体"/>
          <w:kern w:val="2"/>
          <w:highlight w:val="none"/>
        </w:rPr>
      </w:pPr>
      <w:r>
        <w:rPr>
          <w:rFonts w:hint="eastAsia" w:ascii="宋体" w:hAnsi="宋体" w:eastAsia="宋体" w:cs="宋体"/>
          <w:kern w:val="2"/>
          <w:highlight w:val="none"/>
        </w:rPr>
        <w:t>成交供应商应遵循《快件服务》国家标准，分别是GB/T 27917.1-2011《快件服务 第1部分：基本术语》、GB/T 27917.2-2011《快件服务 第2部分：组织要求》和GB/T 27917.3-2011《快件服务 第3部分：服务环节》。</w:t>
      </w:r>
    </w:p>
    <w:p>
      <w:pPr>
        <w:rPr>
          <w:rFonts w:ascii="宋体" w:hAnsi="宋体" w:eastAsia="宋体" w:cs="宋体"/>
          <w:kern w:val="2"/>
          <w:highlight w:val="none"/>
        </w:rPr>
      </w:pPr>
      <w:r>
        <w:rPr>
          <w:rFonts w:ascii="宋体" w:hAnsi="宋体" w:eastAsia="宋体" w:cs="宋体"/>
          <w:kern w:val="2"/>
          <w:highlight w:val="none"/>
        </w:rPr>
        <w:br w:type="page"/>
      </w:r>
    </w:p>
    <w:p>
      <w:pPr>
        <w:widowControl/>
        <w:jc w:val="left"/>
        <w:rPr>
          <w:rFonts w:ascii="宋体" w:hAnsi="宋体" w:cs="宋体"/>
          <w:sz w:val="24"/>
          <w:highlight w:val="none"/>
        </w:rPr>
      </w:pPr>
      <w:r>
        <w:rPr>
          <w:rFonts w:hint="eastAsia"/>
          <w:b/>
          <w:sz w:val="30"/>
          <w:szCs w:val="30"/>
          <w:highlight w:val="none"/>
        </w:rPr>
        <w:t>报价表</w:t>
      </w:r>
    </w:p>
    <w:p>
      <w:pPr>
        <w:pStyle w:val="14"/>
        <w:numPr>
          <w:ilvl w:val="0"/>
          <w:numId w:val="3"/>
        </w:numPr>
        <w:ind w:firstLineChars="0"/>
        <w:rPr>
          <w:highlight w:val="none"/>
        </w:rPr>
      </w:pPr>
      <w:r>
        <w:rPr>
          <w:rFonts w:hint="eastAsia"/>
          <w:highlight w:val="none"/>
        </w:rPr>
        <w:t>普通件配送表</w:t>
      </w:r>
    </w:p>
    <w:tbl>
      <w:tblPr>
        <w:tblStyle w:val="5"/>
        <w:tblW w:w="8620" w:type="dxa"/>
        <w:tblInd w:w="93" w:type="dxa"/>
        <w:tblLayout w:type="fixed"/>
        <w:tblCellMar>
          <w:top w:w="0" w:type="dxa"/>
          <w:left w:w="108" w:type="dxa"/>
          <w:bottom w:w="0" w:type="dxa"/>
          <w:right w:w="108" w:type="dxa"/>
        </w:tblCellMar>
      </w:tblPr>
      <w:tblGrid>
        <w:gridCol w:w="760"/>
        <w:gridCol w:w="1160"/>
        <w:gridCol w:w="660"/>
        <w:gridCol w:w="720"/>
        <w:gridCol w:w="900"/>
        <w:gridCol w:w="900"/>
        <w:gridCol w:w="820"/>
        <w:gridCol w:w="900"/>
        <w:gridCol w:w="900"/>
        <w:gridCol w:w="900"/>
      </w:tblGrid>
      <w:tr>
        <w:tblPrEx>
          <w:tblLayout w:type="fixed"/>
          <w:tblCellMar>
            <w:top w:w="0" w:type="dxa"/>
            <w:left w:w="108" w:type="dxa"/>
            <w:bottom w:w="0" w:type="dxa"/>
            <w:right w:w="108" w:type="dxa"/>
          </w:tblCellMar>
        </w:tblPrEx>
        <w:trPr>
          <w:trHeight w:val="240"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出发地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目的地</w:t>
            </w:r>
          </w:p>
        </w:tc>
        <w:tc>
          <w:tcPr>
            <w:tcW w:w="6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时限</w:t>
            </w:r>
            <w:r>
              <w:rPr>
                <w:rFonts w:hint="eastAsia"/>
                <w:kern w:val="2"/>
                <w:highlight w:val="none"/>
              </w:rPr>
              <w:br w:type="textWrapping"/>
            </w:r>
            <w:r>
              <w:rPr>
                <w:rFonts w:hint="eastAsia"/>
                <w:kern w:val="2"/>
                <w:highlight w:val="none"/>
              </w:rPr>
              <w:t>要求</w:t>
            </w:r>
            <w:r>
              <w:rPr>
                <w:rFonts w:hint="eastAsia"/>
                <w:kern w:val="2"/>
                <w:highlight w:val="none"/>
              </w:rPr>
              <w:br w:type="textWrapping"/>
            </w:r>
            <w:r>
              <w:rPr>
                <w:rFonts w:hint="eastAsia"/>
                <w:kern w:val="2"/>
                <w:highlight w:val="none"/>
              </w:rPr>
              <w:t>(h)</w:t>
            </w:r>
          </w:p>
        </w:tc>
        <w:tc>
          <w:tcPr>
            <w:tcW w:w="5140" w:type="dxa"/>
            <w:gridSpan w:val="6"/>
            <w:tcBorders>
              <w:top w:val="single" w:color="auto" w:sz="4" w:space="0"/>
              <w:left w:val="nil"/>
              <w:bottom w:val="single" w:color="auto" w:sz="4" w:space="0"/>
              <w:right w:val="single" w:color="000000" w:sz="4" w:space="0"/>
            </w:tcBorders>
            <w:shd w:val="clear" w:color="auto" w:fill="auto"/>
            <w:vAlign w:val="center"/>
          </w:tcPr>
          <w:p>
            <w:pPr>
              <w:pStyle w:val="13"/>
              <w:jc w:val="center"/>
              <w:rPr>
                <w:kern w:val="2"/>
                <w:highlight w:val="none"/>
              </w:rPr>
            </w:pPr>
            <w:r>
              <w:rPr>
                <w:rFonts w:hint="eastAsia"/>
                <w:kern w:val="2"/>
                <w:highlight w:val="none"/>
              </w:rPr>
              <w:t>普通件</w:t>
            </w:r>
          </w:p>
        </w:tc>
        <w:tc>
          <w:tcPr>
            <w:tcW w:w="9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小计</w:t>
            </w:r>
          </w:p>
        </w:tc>
      </w:tr>
      <w:tr>
        <w:tblPrEx>
          <w:tblLayout w:type="fixed"/>
          <w:tblCellMar>
            <w:top w:w="0" w:type="dxa"/>
            <w:left w:w="108" w:type="dxa"/>
            <w:bottom w:w="0" w:type="dxa"/>
            <w:right w:w="108" w:type="dxa"/>
          </w:tblCellMar>
        </w:tblPrEx>
        <w:trPr>
          <w:trHeight w:val="27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rPr>
                <w:kern w:val="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rPr>
                <w:kern w:val="2"/>
                <w:highlight w:val="none"/>
              </w:rPr>
            </w:pPr>
          </w:p>
        </w:tc>
        <w:tc>
          <w:tcPr>
            <w:tcW w:w="66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pStyle w:val="13"/>
              <w:rPr>
                <w:kern w:val="2"/>
                <w:highlight w:val="none"/>
              </w:rPr>
            </w:pPr>
          </w:p>
        </w:tc>
        <w:tc>
          <w:tcPr>
            <w:tcW w:w="2520" w:type="dxa"/>
            <w:gridSpan w:val="3"/>
            <w:tcBorders>
              <w:top w:val="single" w:color="auto" w:sz="4" w:space="0"/>
              <w:left w:val="nil"/>
              <w:bottom w:val="single" w:color="auto" w:sz="4" w:space="0"/>
              <w:right w:val="single" w:color="000000" w:sz="4" w:space="0"/>
            </w:tcBorders>
            <w:shd w:val="clear" w:color="auto" w:fill="auto"/>
            <w:vAlign w:val="center"/>
          </w:tcPr>
          <w:p>
            <w:pPr>
              <w:pStyle w:val="13"/>
              <w:jc w:val="center"/>
              <w:rPr>
                <w:kern w:val="2"/>
                <w:highlight w:val="none"/>
              </w:rPr>
            </w:pPr>
            <w:r>
              <w:rPr>
                <w:rFonts w:hint="eastAsia"/>
                <w:kern w:val="2"/>
                <w:highlight w:val="none"/>
              </w:rPr>
              <w:t>首重</w:t>
            </w:r>
          </w:p>
        </w:tc>
        <w:tc>
          <w:tcPr>
            <w:tcW w:w="2620" w:type="dxa"/>
            <w:gridSpan w:val="3"/>
            <w:tcBorders>
              <w:top w:val="single" w:color="auto" w:sz="4" w:space="0"/>
              <w:left w:val="nil"/>
              <w:bottom w:val="single" w:color="auto" w:sz="4" w:space="0"/>
              <w:right w:val="single" w:color="000000" w:sz="4" w:space="0"/>
            </w:tcBorders>
            <w:shd w:val="clear" w:color="auto" w:fill="auto"/>
            <w:vAlign w:val="center"/>
          </w:tcPr>
          <w:p>
            <w:pPr>
              <w:pStyle w:val="13"/>
              <w:jc w:val="center"/>
              <w:rPr>
                <w:kern w:val="2"/>
                <w:highlight w:val="none"/>
              </w:rPr>
            </w:pPr>
            <w:r>
              <w:rPr>
                <w:rFonts w:hint="eastAsia"/>
                <w:kern w:val="2"/>
                <w:highlight w:val="none"/>
              </w:rPr>
              <w:t>续重</w:t>
            </w:r>
          </w:p>
        </w:tc>
        <w:tc>
          <w:tcPr>
            <w:tcW w:w="90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pStyle w:val="13"/>
              <w:rPr>
                <w:kern w:val="2"/>
                <w:highlight w:val="none"/>
              </w:rPr>
            </w:pPr>
          </w:p>
        </w:tc>
      </w:tr>
      <w:tr>
        <w:tblPrEx>
          <w:tblLayout w:type="fixed"/>
          <w:tblCellMar>
            <w:top w:w="0" w:type="dxa"/>
            <w:left w:w="108" w:type="dxa"/>
            <w:bottom w:w="0" w:type="dxa"/>
            <w:right w:w="108" w:type="dxa"/>
          </w:tblCellMar>
        </w:tblPrEx>
        <w:trPr>
          <w:trHeight w:val="72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rPr>
                <w:kern w:val="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rPr>
                <w:kern w:val="2"/>
                <w:highlight w:val="none"/>
              </w:rPr>
            </w:pPr>
          </w:p>
        </w:tc>
        <w:tc>
          <w:tcPr>
            <w:tcW w:w="66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pStyle w:val="13"/>
              <w:rPr>
                <w:kern w:val="2"/>
                <w:highlight w:val="none"/>
              </w:rPr>
            </w:pPr>
          </w:p>
        </w:tc>
        <w:tc>
          <w:tcPr>
            <w:tcW w:w="72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重量</w:t>
            </w:r>
            <w:r>
              <w:rPr>
                <w:rFonts w:hint="eastAsia"/>
                <w:kern w:val="2"/>
                <w:highlight w:val="none"/>
              </w:rPr>
              <w:br w:type="textWrapping"/>
            </w:r>
            <w:r>
              <w:rPr>
                <w:rFonts w:hint="eastAsia"/>
                <w:kern w:val="2"/>
                <w:highlight w:val="none"/>
              </w:rPr>
              <w:t>(kg)</w:t>
            </w:r>
          </w:p>
        </w:tc>
        <w:tc>
          <w:tcPr>
            <w:tcW w:w="90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限价</w:t>
            </w:r>
            <w:r>
              <w:rPr>
                <w:rFonts w:hint="eastAsia"/>
                <w:kern w:val="2"/>
                <w:highlight w:val="none"/>
              </w:rPr>
              <w:br w:type="textWrapping"/>
            </w:r>
            <w:r>
              <w:rPr>
                <w:rFonts w:hint="eastAsia"/>
                <w:kern w:val="2"/>
                <w:highlight w:val="none"/>
              </w:rPr>
              <w:t>(kg/元)</w:t>
            </w:r>
          </w:p>
        </w:tc>
        <w:tc>
          <w:tcPr>
            <w:tcW w:w="90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单价</w:t>
            </w:r>
            <w:r>
              <w:rPr>
                <w:rFonts w:hint="eastAsia"/>
                <w:kern w:val="2"/>
                <w:highlight w:val="none"/>
              </w:rPr>
              <w:br w:type="textWrapping"/>
            </w:r>
            <w:r>
              <w:rPr>
                <w:rFonts w:hint="eastAsia"/>
                <w:kern w:val="2"/>
                <w:highlight w:val="none"/>
              </w:rPr>
              <w:t>(kg/元)</w:t>
            </w:r>
          </w:p>
        </w:tc>
        <w:tc>
          <w:tcPr>
            <w:tcW w:w="82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重量</w:t>
            </w:r>
            <w:r>
              <w:rPr>
                <w:rFonts w:hint="eastAsia"/>
                <w:kern w:val="2"/>
                <w:highlight w:val="none"/>
              </w:rPr>
              <w:br w:type="textWrapping"/>
            </w:r>
            <w:r>
              <w:rPr>
                <w:rFonts w:hint="eastAsia"/>
                <w:kern w:val="2"/>
                <w:highlight w:val="none"/>
              </w:rPr>
              <w:t>(kg)</w:t>
            </w:r>
          </w:p>
        </w:tc>
        <w:tc>
          <w:tcPr>
            <w:tcW w:w="90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限价</w:t>
            </w:r>
            <w:r>
              <w:rPr>
                <w:rFonts w:hint="eastAsia"/>
                <w:kern w:val="2"/>
                <w:highlight w:val="none"/>
              </w:rPr>
              <w:br w:type="textWrapping"/>
            </w:r>
            <w:r>
              <w:rPr>
                <w:rFonts w:hint="eastAsia"/>
                <w:kern w:val="2"/>
                <w:highlight w:val="none"/>
              </w:rPr>
              <w:t>(kg/元)</w:t>
            </w:r>
          </w:p>
        </w:tc>
        <w:tc>
          <w:tcPr>
            <w:tcW w:w="90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单价</w:t>
            </w:r>
            <w:r>
              <w:rPr>
                <w:rFonts w:hint="eastAsia"/>
                <w:kern w:val="2"/>
                <w:highlight w:val="none"/>
              </w:rPr>
              <w:br w:type="textWrapping"/>
            </w:r>
            <w:r>
              <w:rPr>
                <w:rFonts w:hint="eastAsia"/>
                <w:kern w:val="2"/>
                <w:highlight w:val="none"/>
              </w:rPr>
              <w:t>(kg/元)</w:t>
            </w:r>
          </w:p>
        </w:tc>
        <w:tc>
          <w:tcPr>
            <w:tcW w:w="90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pStyle w:val="13"/>
              <w:rPr>
                <w:kern w:val="2"/>
                <w:highlight w:val="none"/>
              </w:rPr>
            </w:pP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lang w:val="en-US" w:eastAsia="zh-CN"/>
              </w:rPr>
            </w:pPr>
            <w:r>
              <w:rPr>
                <w:rFonts w:hint="eastAsia" w:ascii="宋体" w:hAnsi="宋体" w:eastAsia="宋体" w:cs="宋体"/>
                <w:kern w:val="2"/>
                <w:sz w:val="20"/>
                <w:szCs w:val="20"/>
                <w:highlight w:val="none"/>
                <w:lang w:val="en-US" w:eastAsia="zh-CN"/>
              </w:rPr>
              <w:t>英德市区</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24</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英德乡镇</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rFonts w:hint="eastAsia"/>
                <w:kern w:val="2"/>
                <w:highlight w:val="none"/>
                <w:lang w:val="en-US" w:eastAsia="zh-CN"/>
              </w:rPr>
            </w:pPr>
            <w:r>
              <w:rPr>
                <w:rFonts w:hint="eastAsia"/>
                <w:kern w:val="2"/>
                <w:highlight w:val="none"/>
                <w:lang w:val="en-US" w:eastAsia="zh-CN"/>
              </w:rPr>
              <w:t>48</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bidi="ar-SA"/>
              </w:rPr>
              <w:t>清远市内（英德除外）</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rFonts w:hint="eastAsia"/>
                <w:kern w:val="2"/>
                <w:highlight w:val="none"/>
                <w:lang w:val="en-US" w:eastAsia="zh-CN"/>
              </w:rPr>
            </w:pPr>
            <w:r>
              <w:rPr>
                <w:rFonts w:hint="eastAsia"/>
                <w:kern w:val="2"/>
                <w:highlight w:val="none"/>
                <w:lang w:val="en-US" w:eastAsia="zh-CN"/>
              </w:rPr>
              <w:t>48</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lang w:val="en-US" w:eastAsia="zh-CN"/>
              </w:rPr>
            </w:pPr>
            <w:r>
              <w:rPr>
                <w:rFonts w:hint="eastAsia" w:ascii="宋体" w:hAnsi="宋体" w:eastAsia="宋体" w:cs="宋体"/>
                <w:kern w:val="2"/>
                <w:sz w:val="20"/>
                <w:szCs w:val="20"/>
                <w:highlight w:val="none"/>
                <w:lang w:val="en-US" w:eastAsia="zh-CN" w:bidi="ar-SA"/>
              </w:rPr>
              <w:t>省内（清远市除外）</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rFonts w:hint="eastAsia" w:eastAsia="宋体"/>
                <w:kern w:val="2"/>
                <w:highlight w:val="none"/>
                <w:lang w:val="en-US" w:eastAsia="zh-CN"/>
              </w:rPr>
            </w:pPr>
            <w:r>
              <w:rPr>
                <w:rFonts w:hint="eastAsia"/>
                <w:kern w:val="2"/>
                <w:highlight w:val="none"/>
                <w:lang w:val="en-US" w:eastAsia="zh-CN"/>
              </w:rPr>
              <w:t>48</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福建</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广西</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36</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海南</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湖南</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江西</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安徽</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36</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贵州</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河南</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江苏</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上海</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四川</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云南</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60</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浙江</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重庆</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9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北京</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32</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河北</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辽宁</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山东</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天津</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湖北</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山西</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陕西</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vAlign w:val="center"/>
          </w:tcPr>
          <w:p>
            <w:pPr>
              <w:pStyle w:val="13"/>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甘肃</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内蒙古</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74</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宁夏</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青海</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74</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黑龙江</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74</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吉林</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西藏</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148</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rPr>
              <w:t>英德</w:t>
            </w:r>
          </w:p>
        </w:tc>
        <w:tc>
          <w:tcPr>
            <w:tcW w:w="116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rPr>
              <w:t>新疆</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81</w:t>
            </w:r>
          </w:p>
        </w:tc>
        <w:tc>
          <w:tcPr>
            <w:tcW w:w="7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19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合计</w:t>
            </w:r>
          </w:p>
        </w:tc>
        <w:tc>
          <w:tcPr>
            <w:tcW w:w="660"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　</w:t>
            </w:r>
          </w:p>
        </w:tc>
        <w:tc>
          <w:tcPr>
            <w:tcW w:w="72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82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bl>
    <w:p>
      <w:pPr>
        <w:pStyle w:val="13"/>
        <w:rPr>
          <w:kern w:val="2"/>
          <w:sz w:val="21"/>
          <w:szCs w:val="22"/>
          <w:highlight w:val="none"/>
        </w:rPr>
      </w:pPr>
    </w:p>
    <w:p>
      <w:pPr>
        <w:pStyle w:val="13"/>
        <w:rPr>
          <w:kern w:val="2"/>
          <w:sz w:val="21"/>
          <w:szCs w:val="22"/>
          <w:highlight w:val="none"/>
        </w:rPr>
      </w:pPr>
      <w:r>
        <w:rPr>
          <w:rFonts w:hint="eastAsia"/>
          <w:kern w:val="2"/>
          <w:sz w:val="21"/>
          <w:szCs w:val="22"/>
          <w:highlight w:val="none"/>
        </w:rPr>
        <w:t>2、冷链件配送报价表</w:t>
      </w:r>
    </w:p>
    <w:tbl>
      <w:tblPr>
        <w:tblStyle w:val="5"/>
        <w:tblW w:w="8570" w:type="dxa"/>
        <w:tblInd w:w="93" w:type="dxa"/>
        <w:tblLayout w:type="fixed"/>
        <w:tblCellMar>
          <w:top w:w="0" w:type="dxa"/>
          <w:left w:w="108" w:type="dxa"/>
          <w:bottom w:w="0" w:type="dxa"/>
          <w:right w:w="108" w:type="dxa"/>
        </w:tblCellMar>
      </w:tblPr>
      <w:tblGrid>
        <w:gridCol w:w="760"/>
        <w:gridCol w:w="1240"/>
        <w:gridCol w:w="992"/>
        <w:gridCol w:w="640"/>
        <w:gridCol w:w="900"/>
        <w:gridCol w:w="880"/>
        <w:gridCol w:w="660"/>
        <w:gridCol w:w="800"/>
        <w:gridCol w:w="798"/>
        <w:gridCol w:w="900"/>
      </w:tblGrid>
      <w:tr>
        <w:tblPrEx>
          <w:tblLayout w:type="fixed"/>
          <w:tblCellMar>
            <w:top w:w="0" w:type="dxa"/>
            <w:left w:w="108" w:type="dxa"/>
            <w:bottom w:w="0" w:type="dxa"/>
            <w:right w:w="108" w:type="dxa"/>
          </w:tblCellMar>
        </w:tblPrEx>
        <w:trPr>
          <w:trHeight w:val="240"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出发地</w:t>
            </w:r>
          </w:p>
        </w:tc>
        <w:tc>
          <w:tcPr>
            <w:tcW w:w="12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目的地</w:t>
            </w:r>
          </w:p>
        </w:tc>
        <w:tc>
          <w:tcPr>
            <w:tcW w:w="99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时限</w:t>
            </w:r>
            <w:r>
              <w:rPr>
                <w:rFonts w:hint="eastAsia"/>
                <w:kern w:val="2"/>
                <w:highlight w:val="none"/>
              </w:rPr>
              <w:br w:type="textWrapping"/>
            </w:r>
            <w:r>
              <w:rPr>
                <w:rFonts w:hint="eastAsia"/>
                <w:kern w:val="2"/>
                <w:highlight w:val="none"/>
              </w:rPr>
              <w:t>要求</w:t>
            </w:r>
            <w:r>
              <w:rPr>
                <w:rFonts w:hint="eastAsia"/>
                <w:kern w:val="2"/>
                <w:highlight w:val="none"/>
              </w:rPr>
              <w:br w:type="textWrapping"/>
            </w:r>
            <w:r>
              <w:rPr>
                <w:rFonts w:hint="eastAsia"/>
                <w:kern w:val="2"/>
                <w:highlight w:val="none"/>
              </w:rPr>
              <w:t>(h)</w:t>
            </w:r>
          </w:p>
        </w:tc>
        <w:tc>
          <w:tcPr>
            <w:tcW w:w="4678" w:type="dxa"/>
            <w:gridSpan w:val="6"/>
            <w:tcBorders>
              <w:top w:val="single" w:color="auto" w:sz="4" w:space="0"/>
              <w:left w:val="nil"/>
              <w:bottom w:val="single" w:color="auto" w:sz="4" w:space="0"/>
              <w:right w:val="single" w:color="000000" w:sz="4" w:space="0"/>
            </w:tcBorders>
            <w:shd w:val="clear" w:color="auto" w:fill="auto"/>
            <w:vAlign w:val="center"/>
          </w:tcPr>
          <w:p>
            <w:pPr>
              <w:pStyle w:val="13"/>
              <w:jc w:val="center"/>
              <w:rPr>
                <w:kern w:val="2"/>
                <w:highlight w:val="none"/>
              </w:rPr>
            </w:pPr>
            <w:r>
              <w:rPr>
                <w:rFonts w:hint="eastAsia"/>
                <w:kern w:val="2"/>
                <w:highlight w:val="none"/>
              </w:rPr>
              <w:t>冷链件</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小计</w:t>
            </w:r>
          </w:p>
        </w:tc>
      </w:tr>
      <w:tr>
        <w:tblPrEx>
          <w:tblLayout w:type="fixed"/>
          <w:tblCellMar>
            <w:top w:w="0" w:type="dxa"/>
            <w:left w:w="108" w:type="dxa"/>
            <w:bottom w:w="0" w:type="dxa"/>
            <w:right w:w="108" w:type="dxa"/>
          </w:tblCellMar>
        </w:tblPrEx>
        <w:trPr>
          <w:trHeight w:val="27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rPr>
                <w:kern w:val="2"/>
                <w:highlight w:val="none"/>
              </w:rPr>
            </w:pPr>
          </w:p>
        </w:tc>
        <w:tc>
          <w:tcPr>
            <w:tcW w:w="1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rPr>
                <w:kern w:val="2"/>
                <w:highlight w:val="none"/>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pStyle w:val="13"/>
              <w:rPr>
                <w:kern w:val="2"/>
                <w:highlight w:val="none"/>
              </w:rPr>
            </w:pPr>
          </w:p>
        </w:tc>
        <w:tc>
          <w:tcPr>
            <w:tcW w:w="2420" w:type="dxa"/>
            <w:gridSpan w:val="3"/>
            <w:tcBorders>
              <w:top w:val="single" w:color="auto" w:sz="4" w:space="0"/>
              <w:left w:val="nil"/>
              <w:bottom w:val="single" w:color="auto" w:sz="4" w:space="0"/>
              <w:right w:val="single" w:color="000000" w:sz="4" w:space="0"/>
            </w:tcBorders>
            <w:shd w:val="clear" w:color="auto" w:fill="auto"/>
            <w:vAlign w:val="center"/>
          </w:tcPr>
          <w:p>
            <w:pPr>
              <w:pStyle w:val="13"/>
              <w:jc w:val="center"/>
              <w:rPr>
                <w:kern w:val="2"/>
                <w:highlight w:val="none"/>
              </w:rPr>
            </w:pPr>
            <w:r>
              <w:rPr>
                <w:rFonts w:hint="eastAsia"/>
                <w:kern w:val="2"/>
                <w:highlight w:val="none"/>
              </w:rPr>
              <w:t>5L温控箱</w:t>
            </w:r>
          </w:p>
        </w:tc>
        <w:tc>
          <w:tcPr>
            <w:tcW w:w="2258" w:type="dxa"/>
            <w:gridSpan w:val="3"/>
            <w:tcBorders>
              <w:top w:val="single" w:color="auto" w:sz="4" w:space="0"/>
              <w:left w:val="nil"/>
              <w:bottom w:val="single" w:color="auto" w:sz="4" w:space="0"/>
              <w:right w:val="single" w:color="000000" w:sz="4" w:space="0"/>
            </w:tcBorders>
            <w:shd w:val="clear" w:color="auto" w:fill="auto"/>
            <w:vAlign w:val="center"/>
          </w:tcPr>
          <w:p>
            <w:pPr>
              <w:pStyle w:val="13"/>
              <w:jc w:val="center"/>
              <w:rPr>
                <w:kern w:val="2"/>
                <w:highlight w:val="none"/>
              </w:rPr>
            </w:pPr>
            <w:r>
              <w:rPr>
                <w:rFonts w:hint="eastAsia"/>
                <w:kern w:val="2"/>
                <w:highlight w:val="none"/>
              </w:rPr>
              <w:t>12L温控箱</w:t>
            </w: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rPr>
                <w:kern w:val="2"/>
                <w:highlight w:val="none"/>
              </w:rPr>
            </w:pPr>
          </w:p>
        </w:tc>
      </w:tr>
      <w:tr>
        <w:tblPrEx>
          <w:tblLayout w:type="fixed"/>
          <w:tblCellMar>
            <w:top w:w="0" w:type="dxa"/>
            <w:left w:w="108" w:type="dxa"/>
            <w:bottom w:w="0" w:type="dxa"/>
            <w:right w:w="108" w:type="dxa"/>
          </w:tblCellMar>
        </w:tblPrEx>
        <w:trPr>
          <w:trHeight w:val="72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rPr>
                <w:kern w:val="2"/>
                <w:highlight w:val="none"/>
              </w:rPr>
            </w:pPr>
          </w:p>
        </w:tc>
        <w:tc>
          <w:tcPr>
            <w:tcW w:w="1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rPr>
                <w:kern w:val="2"/>
                <w:highlight w:val="none"/>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pStyle w:val="13"/>
              <w:rPr>
                <w:kern w:val="2"/>
                <w:highlight w:val="none"/>
              </w:rPr>
            </w:pPr>
          </w:p>
        </w:tc>
        <w:tc>
          <w:tcPr>
            <w:tcW w:w="640" w:type="dxa"/>
            <w:tcBorders>
              <w:top w:val="nil"/>
              <w:left w:val="nil"/>
              <w:bottom w:val="nil"/>
              <w:right w:val="single" w:color="auto" w:sz="4" w:space="0"/>
            </w:tcBorders>
            <w:shd w:val="clear" w:color="auto" w:fill="auto"/>
            <w:vAlign w:val="center"/>
          </w:tcPr>
          <w:p>
            <w:pPr>
              <w:pStyle w:val="13"/>
              <w:jc w:val="center"/>
              <w:rPr>
                <w:kern w:val="2"/>
                <w:highlight w:val="none"/>
              </w:rPr>
            </w:pPr>
            <w:r>
              <w:rPr>
                <w:rFonts w:hint="eastAsia"/>
                <w:kern w:val="2"/>
                <w:highlight w:val="none"/>
              </w:rPr>
              <w:t>冷链</w:t>
            </w:r>
            <w:r>
              <w:rPr>
                <w:rFonts w:hint="eastAsia"/>
                <w:kern w:val="2"/>
                <w:highlight w:val="none"/>
              </w:rPr>
              <w:br w:type="textWrapping"/>
            </w:r>
            <w:r>
              <w:rPr>
                <w:rFonts w:hint="eastAsia"/>
                <w:kern w:val="2"/>
                <w:highlight w:val="none"/>
              </w:rPr>
              <w:t>箱数</w:t>
            </w:r>
          </w:p>
        </w:tc>
        <w:tc>
          <w:tcPr>
            <w:tcW w:w="900" w:type="dxa"/>
            <w:tcBorders>
              <w:top w:val="nil"/>
              <w:left w:val="nil"/>
              <w:bottom w:val="nil"/>
              <w:right w:val="single" w:color="auto" w:sz="4" w:space="0"/>
            </w:tcBorders>
            <w:shd w:val="clear" w:color="auto" w:fill="auto"/>
            <w:vAlign w:val="center"/>
          </w:tcPr>
          <w:p>
            <w:pPr>
              <w:pStyle w:val="13"/>
              <w:jc w:val="center"/>
              <w:rPr>
                <w:kern w:val="2"/>
                <w:highlight w:val="none"/>
              </w:rPr>
            </w:pPr>
            <w:r>
              <w:rPr>
                <w:rFonts w:hint="eastAsia"/>
                <w:kern w:val="2"/>
                <w:highlight w:val="none"/>
              </w:rPr>
              <w:t>限价</w:t>
            </w:r>
            <w:r>
              <w:rPr>
                <w:rFonts w:hint="eastAsia"/>
                <w:kern w:val="2"/>
                <w:highlight w:val="none"/>
              </w:rPr>
              <w:br w:type="textWrapping"/>
            </w:r>
            <w:r>
              <w:rPr>
                <w:rFonts w:hint="eastAsia"/>
                <w:kern w:val="2"/>
                <w:highlight w:val="none"/>
              </w:rPr>
              <w:t>(箱/元)</w:t>
            </w:r>
          </w:p>
        </w:tc>
        <w:tc>
          <w:tcPr>
            <w:tcW w:w="880" w:type="dxa"/>
            <w:tcBorders>
              <w:top w:val="nil"/>
              <w:left w:val="nil"/>
              <w:bottom w:val="nil"/>
              <w:right w:val="single" w:color="auto" w:sz="4" w:space="0"/>
            </w:tcBorders>
            <w:shd w:val="clear" w:color="auto" w:fill="auto"/>
            <w:vAlign w:val="center"/>
          </w:tcPr>
          <w:p>
            <w:pPr>
              <w:pStyle w:val="13"/>
              <w:jc w:val="center"/>
              <w:rPr>
                <w:kern w:val="2"/>
                <w:highlight w:val="none"/>
              </w:rPr>
            </w:pPr>
            <w:r>
              <w:rPr>
                <w:rFonts w:hint="eastAsia"/>
                <w:kern w:val="2"/>
                <w:highlight w:val="none"/>
              </w:rPr>
              <w:t>单价</w:t>
            </w:r>
            <w:r>
              <w:rPr>
                <w:rFonts w:hint="eastAsia"/>
                <w:kern w:val="2"/>
                <w:highlight w:val="none"/>
              </w:rPr>
              <w:br w:type="textWrapping"/>
            </w:r>
            <w:r>
              <w:rPr>
                <w:rFonts w:hint="eastAsia"/>
                <w:kern w:val="2"/>
                <w:highlight w:val="none"/>
              </w:rPr>
              <w:t>(箱/元)</w:t>
            </w:r>
          </w:p>
        </w:tc>
        <w:tc>
          <w:tcPr>
            <w:tcW w:w="660" w:type="dxa"/>
            <w:tcBorders>
              <w:top w:val="nil"/>
              <w:left w:val="nil"/>
              <w:bottom w:val="nil"/>
              <w:right w:val="single" w:color="auto" w:sz="4" w:space="0"/>
            </w:tcBorders>
            <w:shd w:val="clear" w:color="auto" w:fill="auto"/>
            <w:vAlign w:val="center"/>
          </w:tcPr>
          <w:p>
            <w:pPr>
              <w:pStyle w:val="13"/>
              <w:jc w:val="center"/>
              <w:rPr>
                <w:kern w:val="2"/>
                <w:highlight w:val="none"/>
              </w:rPr>
            </w:pPr>
            <w:r>
              <w:rPr>
                <w:rFonts w:hint="eastAsia"/>
                <w:kern w:val="2"/>
                <w:highlight w:val="none"/>
              </w:rPr>
              <w:t>冷链</w:t>
            </w:r>
            <w:r>
              <w:rPr>
                <w:rFonts w:hint="eastAsia"/>
                <w:kern w:val="2"/>
                <w:highlight w:val="none"/>
              </w:rPr>
              <w:br w:type="textWrapping"/>
            </w:r>
            <w:r>
              <w:rPr>
                <w:rFonts w:hint="eastAsia"/>
                <w:kern w:val="2"/>
                <w:highlight w:val="none"/>
              </w:rPr>
              <w:t>箱数</w:t>
            </w:r>
          </w:p>
        </w:tc>
        <w:tc>
          <w:tcPr>
            <w:tcW w:w="800" w:type="dxa"/>
            <w:tcBorders>
              <w:top w:val="nil"/>
              <w:left w:val="nil"/>
              <w:bottom w:val="nil"/>
              <w:right w:val="single" w:color="auto" w:sz="4" w:space="0"/>
            </w:tcBorders>
            <w:shd w:val="clear" w:color="auto" w:fill="auto"/>
            <w:vAlign w:val="center"/>
          </w:tcPr>
          <w:p>
            <w:pPr>
              <w:pStyle w:val="13"/>
              <w:jc w:val="center"/>
              <w:rPr>
                <w:kern w:val="2"/>
                <w:highlight w:val="none"/>
              </w:rPr>
            </w:pPr>
            <w:r>
              <w:rPr>
                <w:rFonts w:hint="eastAsia"/>
                <w:kern w:val="2"/>
                <w:highlight w:val="none"/>
              </w:rPr>
              <w:t>限价</w:t>
            </w:r>
            <w:r>
              <w:rPr>
                <w:rFonts w:hint="eastAsia"/>
                <w:kern w:val="2"/>
                <w:highlight w:val="none"/>
              </w:rPr>
              <w:br w:type="textWrapping"/>
            </w:r>
            <w:r>
              <w:rPr>
                <w:rFonts w:hint="eastAsia"/>
                <w:kern w:val="2"/>
                <w:highlight w:val="none"/>
              </w:rPr>
              <w:t>(箱/元)</w:t>
            </w:r>
          </w:p>
        </w:tc>
        <w:tc>
          <w:tcPr>
            <w:tcW w:w="798" w:type="dxa"/>
            <w:tcBorders>
              <w:top w:val="nil"/>
              <w:left w:val="nil"/>
              <w:bottom w:val="nil"/>
              <w:right w:val="single" w:color="auto" w:sz="4" w:space="0"/>
            </w:tcBorders>
            <w:shd w:val="clear" w:color="auto" w:fill="auto"/>
            <w:vAlign w:val="center"/>
          </w:tcPr>
          <w:p>
            <w:pPr>
              <w:pStyle w:val="13"/>
              <w:jc w:val="center"/>
              <w:rPr>
                <w:kern w:val="2"/>
                <w:highlight w:val="none"/>
              </w:rPr>
            </w:pPr>
            <w:r>
              <w:rPr>
                <w:rFonts w:hint="eastAsia"/>
                <w:kern w:val="2"/>
                <w:highlight w:val="none"/>
              </w:rPr>
              <w:t>单价</w:t>
            </w:r>
            <w:r>
              <w:rPr>
                <w:rFonts w:hint="eastAsia"/>
                <w:kern w:val="2"/>
                <w:highlight w:val="none"/>
              </w:rPr>
              <w:br w:type="textWrapping"/>
            </w:r>
            <w:r>
              <w:rPr>
                <w:rFonts w:hint="eastAsia"/>
                <w:kern w:val="2"/>
                <w:highlight w:val="none"/>
              </w:rPr>
              <w:t>(箱/元)</w:t>
            </w: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rPr>
                <w:kern w:val="2"/>
                <w:highlight w:val="none"/>
              </w:rPr>
            </w:pP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pStyle w:val="13"/>
              <w:rPr>
                <w:rFonts w:hint="eastAsia" w:eastAsia="宋体"/>
                <w:kern w:val="2"/>
                <w:highlight w:val="none"/>
                <w:lang w:eastAsia="zh-CN"/>
              </w:rPr>
            </w:pPr>
            <w:r>
              <w:rPr>
                <w:rFonts w:hint="eastAsia"/>
                <w:kern w:val="2"/>
                <w:highlight w:val="none"/>
                <w:lang w:val="en-US" w:eastAsia="zh-CN"/>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rFonts w:hint="eastAsia" w:eastAsia="宋体"/>
                <w:kern w:val="2"/>
                <w:highlight w:val="none"/>
                <w:lang w:val="en-US" w:eastAsia="zh-CN"/>
              </w:rPr>
            </w:pPr>
            <w:r>
              <w:rPr>
                <w:rFonts w:hint="eastAsia"/>
                <w:kern w:val="2"/>
                <w:highlight w:val="none"/>
                <w:lang w:val="en-US" w:eastAsia="zh-CN"/>
              </w:rPr>
              <w:t>英德市区</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24</w:t>
            </w:r>
          </w:p>
        </w:tc>
        <w:tc>
          <w:tcPr>
            <w:tcW w:w="640" w:type="dxa"/>
            <w:tcBorders>
              <w:top w:val="single" w:color="auto" w:sz="4" w:space="0"/>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single" w:color="auto" w:sz="4" w:space="0"/>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single" w:color="auto" w:sz="4" w:space="0"/>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660" w:type="dxa"/>
            <w:tcBorders>
              <w:top w:val="single" w:color="auto" w:sz="4" w:space="0"/>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single" w:color="auto" w:sz="4" w:space="0"/>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single" w:color="auto" w:sz="4" w:space="0"/>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pStyle w:val="13"/>
              <w:rPr>
                <w:rFonts w:hint="eastAsia" w:eastAsia="宋体"/>
                <w:kern w:val="2"/>
                <w:highlight w:val="none"/>
                <w:lang w:eastAsia="zh-CN"/>
              </w:rPr>
            </w:pPr>
            <w:r>
              <w:rPr>
                <w:rFonts w:hint="eastAsia"/>
                <w:kern w:val="2"/>
                <w:highlight w:val="none"/>
                <w:lang w:val="en-US" w:eastAsia="zh-CN"/>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rFonts w:hint="eastAsia" w:eastAsia="宋体"/>
                <w:kern w:val="2"/>
                <w:highlight w:val="none"/>
                <w:lang w:eastAsia="zh-CN"/>
              </w:rPr>
            </w:pPr>
            <w:r>
              <w:rPr>
                <w:rFonts w:hint="eastAsia"/>
                <w:kern w:val="2"/>
                <w:highlight w:val="none"/>
                <w:lang w:val="en-US" w:eastAsia="zh-CN"/>
              </w:rPr>
              <w:t>英德乡镇</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rFonts w:hint="eastAsia" w:eastAsia="宋体"/>
                <w:kern w:val="2"/>
                <w:highlight w:val="none"/>
                <w:lang w:val="en-US" w:eastAsia="zh-CN"/>
              </w:rPr>
            </w:pPr>
            <w:r>
              <w:rPr>
                <w:rFonts w:hint="eastAsia"/>
                <w:kern w:val="2"/>
                <w:highlight w:val="none"/>
                <w:lang w:val="en-US" w:eastAsia="zh-CN"/>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清远市内（英德除外）</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rFonts w:hint="eastAsia" w:eastAsia="宋体"/>
                <w:kern w:val="2"/>
                <w:highlight w:val="none"/>
                <w:lang w:val="en-US" w:eastAsia="zh-CN"/>
              </w:rPr>
            </w:pPr>
            <w:r>
              <w:rPr>
                <w:rFonts w:hint="eastAsia"/>
                <w:kern w:val="2"/>
                <w:highlight w:val="none"/>
                <w:lang w:val="en-US" w:eastAsia="zh-CN"/>
              </w:rPr>
              <w:t>48</w:t>
            </w:r>
          </w:p>
        </w:tc>
        <w:tc>
          <w:tcPr>
            <w:tcW w:w="640" w:type="dxa"/>
            <w:tcBorders>
              <w:top w:val="nil"/>
              <w:left w:val="nil"/>
              <w:bottom w:val="single" w:color="auto" w:sz="4" w:space="0"/>
              <w:right w:val="single" w:color="auto" w:sz="4" w:space="0"/>
            </w:tcBorders>
            <w:shd w:val="clear" w:color="auto" w:fill="auto"/>
            <w:vAlign w:val="center"/>
          </w:tcPr>
          <w:p>
            <w:pPr>
              <w:pStyle w:val="13"/>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rFonts w:hint="eastAsia"/>
                <w:kern w:val="2"/>
                <w:highlight w:val="none"/>
              </w:rPr>
            </w:pPr>
            <w:r>
              <w:rPr>
                <w:rFonts w:hint="eastAsia" w:cs="宋体"/>
                <w:kern w:val="2"/>
                <w:sz w:val="20"/>
                <w:szCs w:val="20"/>
                <w:highlight w:val="none"/>
                <w:lang w:val="en-US" w:eastAsia="zh-CN" w:bidi="ar-SA"/>
              </w:rPr>
              <w:t>省内</w:t>
            </w:r>
            <w:r>
              <w:rPr>
                <w:rFonts w:hint="eastAsia" w:ascii="宋体" w:hAnsi="宋体" w:eastAsia="宋体" w:cs="宋体"/>
                <w:kern w:val="2"/>
                <w:sz w:val="20"/>
                <w:szCs w:val="20"/>
                <w:highlight w:val="none"/>
                <w:lang w:val="en-US" w:eastAsia="zh-CN" w:bidi="ar-SA"/>
              </w:rPr>
              <w:t>（</w:t>
            </w:r>
            <w:r>
              <w:rPr>
                <w:rFonts w:hint="eastAsia" w:cs="宋体"/>
                <w:kern w:val="2"/>
                <w:sz w:val="20"/>
                <w:szCs w:val="20"/>
                <w:highlight w:val="none"/>
                <w:lang w:val="en-US" w:eastAsia="zh-CN" w:bidi="ar-SA"/>
              </w:rPr>
              <w:t>清远市</w:t>
            </w:r>
            <w:r>
              <w:rPr>
                <w:rFonts w:hint="eastAsia" w:ascii="宋体" w:hAnsi="宋体" w:eastAsia="宋体" w:cs="宋体"/>
                <w:kern w:val="2"/>
                <w:sz w:val="20"/>
                <w:szCs w:val="20"/>
                <w:highlight w:val="none"/>
                <w:lang w:val="en-US" w:eastAsia="zh-CN" w:bidi="ar-SA"/>
              </w:rPr>
              <w:t>除外）</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rFonts w:hint="eastAsia"/>
                <w:kern w:val="2"/>
                <w:highlight w:val="none"/>
              </w:rPr>
            </w:pPr>
            <w:r>
              <w:rPr>
                <w:rFonts w:hint="eastAsia"/>
                <w:kern w:val="2"/>
                <w:highlight w:val="none"/>
                <w:lang w:val="en-US" w:eastAsia="zh-CN"/>
              </w:rPr>
              <w:t>48</w:t>
            </w:r>
          </w:p>
        </w:tc>
        <w:tc>
          <w:tcPr>
            <w:tcW w:w="640" w:type="dxa"/>
            <w:tcBorders>
              <w:top w:val="nil"/>
              <w:left w:val="nil"/>
              <w:bottom w:val="single" w:color="auto" w:sz="4" w:space="0"/>
              <w:right w:val="single" w:color="auto" w:sz="4" w:space="0"/>
            </w:tcBorders>
            <w:shd w:val="clear" w:color="auto" w:fill="auto"/>
            <w:vAlign w:val="center"/>
          </w:tcPr>
          <w:p>
            <w:pPr>
              <w:pStyle w:val="13"/>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福建</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vAlign w:val="center"/>
          </w:tcPr>
          <w:p>
            <w:pPr>
              <w:pStyle w:val="13"/>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广西</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海南</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ind w:right="200"/>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湖南</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江西</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ind w:right="200"/>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安徽</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贵州</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河南</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江苏</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ind w:right="200"/>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上海</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四川</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云南</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浙江</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重庆</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北京</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河北</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辽宁</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ind w:right="200"/>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山东</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天津</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湖北</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山西</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陕西</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甘肃</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内蒙古</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宁夏</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青海</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黑龙江</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吉林</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西藏</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英德</w:t>
            </w:r>
          </w:p>
        </w:tc>
        <w:tc>
          <w:tcPr>
            <w:tcW w:w="1240" w:type="dxa"/>
            <w:tcBorders>
              <w:top w:val="nil"/>
              <w:left w:val="nil"/>
              <w:bottom w:val="single" w:color="auto" w:sz="4" w:space="0"/>
              <w:right w:val="single" w:color="auto" w:sz="4" w:space="0"/>
            </w:tcBorders>
            <w:shd w:val="clear" w:color="auto" w:fill="auto"/>
            <w:vAlign w:val="center"/>
          </w:tcPr>
          <w:p>
            <w:pPr>
              <w:pStyle w:val="13"/>
              <w:rPr>
                <w:kern w:val="2"/>
                <w:highlight w:val="none"/>
              </w:rPr>
            </w:pPr>
            <w:r>
              <w:rPr>
                <w:rFonts w:hint="eastAsia"/>
                <w:kern w:val="2"/>
                <w:highlight w:val="none"/>
              </w:rPr>
              <w:t>新疆</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vAlign w:val="center"/>
          </w:tcPr>
          <w:p>
            <w:pPr>
              <w:pStyle w:val="13"/>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r>
        <w:tblPrEx>
          <w:tblLayout w:type="fixed"/>
          <w:tblCellMar>
            <w:top w:w="0" w:type="dxa"/>
            <w:left w:w="108" w:type="dxa"/>
            <w:bottom w:w="0" w:type="dxa"/>
            <w:right w:w="108" w:type="dxa"/>
          </w:tblCellMar>
        </w:tblPrEx>
        <w:trPr>
          <w:trHeight w:val="255" w:hRule="atLeast"/>
        </w:trPr>
        <w:tc>
          <w:tcPr>
            <w:tcW w:w="20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合计</w:t>
            </w:r>
          </w:p>
        </w:tc>
        <w:tc>
          <w:tcPr>
            <w:tcW w:w="992" w:type="dxa"/>
            <w:tcBorders>
              <w:top w:val="nil"/>
              <w:left w:val="nil"/>
              <w:bottom w:val="single" w:color="auto" w:sz="4" w:space="0"/>
              <w:right w:val="single" w:color="auto" w:sz="4" w:space="0"/>
            </w:tcBorders>
            <w:shd w:val="clear" w:color="auto" w:fill="auto"/>
            <w:vAlign w:val="center"/>
          </w:tcPr>
          <w:p>
            <w:pPr>
              <w:pStyle w:val="13"/>
              <w:jc w:val="center"/>
              <w:rPr>
                <w:kern w:val="2"/>
                <w:highlight w:val="none"/>
              </w:rPr>
            </w:pPr>
            <w:r>
              <w:rPr>
                <w:rFonts w:hint="eastAsia"/>
                <w:kern w:val="2"/>
                <w:highlight w:val="none"/>
              </w:rPr>
              <w:t>　</w:t>
            </w:r>
          </w:p>
        </w:tc>
        <w:tc>
          <w:tcPr>
            <w:tcW w:w="64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88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66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8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798"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vAlign w:val="center"/>
          </w:tcPr>
          <w:p>
            <w:pPr>
              <w:pStyle w:val="13"/>
              <w:rPr>
                <w:rFonts w:ascii="Arial Narrow" w:hAnsi="Arial Narrow"/>
                <w:kern w:val="2"/>
                <w:highlight w:val="none"/>
              </w:rPr>
            </w:pPr>
            <w:r>
              <w:rPr>
                <w:rFonts w:ascii="Arial Narrow" w:hAnsi="Arial Narrow"/>
                <w:kern w:val="2"/>
                <w:highlight w:val="none"/>
              </w:rPr>
              <w:t>　</w:t>
            </w:r>
          </w:p>
        </w:tc>
      </w:tr>
    </w:tbl>
    <w:p>
      <w:pPr>
        <w:widowControl/>
        <w:jc w:val="left"/>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备注：报价以到付价格核定</w:t>
      </w:r>
      <w:bookmarkStart w:id="2" w:name="_GoBack"/>
      <w:bookmarkEnd w:id="2"/>
    </w:p>
    <w:p>
      <w:pPr>
        <w:rPr>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6" w:space="0"/>
      </w:pBdr>
      <w:ind w:right="7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decimal"/>
      <w:lvlText w:val="%1."/>
      <w:lvlJc w:val="left"/>
      <w:pPr>
        <w:ind w:left="420" w:hanging="420"/>
      </w:pPr>
    </w:lvl>
    <w:lvl w:ilvl="1" w:tentative="0">
      <w:start w:val="1"/>
      <w:numFmt w:val="decimal"/>
      <w:lvlText w:val="%2）"/>
      <w:lvlJc w:val="left"/>
      <w:pPr>
        <w:ind w:left="840" w:hanging="420"/>
      </w:pPr>
      <w:rPr>
        <w:rFonts w:ascii="宋体" w:hAnsi="宋体" w:eastAsia="宋体" w:cs="楷体_GB2312"/>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9"/>
      <w:numFmt w:val="decimal"/>
      <w:lvlText w:val="%1、"/>
      <w:lvlJc w:val="left"/>
      <w:pPr>
        <w:ind w:left="872" w:hanging="39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07"/>
    <w:multiLevelType w:val="multilevel"/>
    <w:tmpl w:val="0000000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ODNkM2ZkMDUwMTQ1NDFmYzZiMDIxYjM4NDI5ZTQifQ=="/>
  </w:docVars>
  <w:rsids>
    <w:rsidRoot w:val="0056630D"/>
    <w:rsid w:val="00236805"/>
    <w:rsid w:val="0056630D"/>
    <w:rsid w:val="00742FF7"/>
    <w:rsid w:val="00C371BA"/>
    <w:rsid w:val="00C6064A"/>
    <w:rsid w:val="00DB0CAE"/>
    <w:rsid w:val="03804C64"/>
    <w:rsid w:val="09317E9F"/>
    <w:rsid w:val="09D579A8"/>
    <w:rsid w:val="1636170E"/>
    <w:rsid w:val="2A7D1A7A"/>
    <w:rsid w:val="301776F1"/>
    <w:rsid w:val="3B48454E"/>
    <w:rsid w:val="3C3E10BB"/>
    <w:rsid w:val="3D322E8B"/>
    <w:rsid w:val="4ECD1DD8"/>
    <w:rsid w:val="55654431"/>
    <w:rsid w:val="65C634F9"/>
    <w:rsid w:val="66B31389"/>
    <w:rsid w:val="678D364F"/>
    <w:rsid w:val="68460C07"/>
    <w:rsid w:val="703A5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 w:type="paragraph" w:customStyle="1" w:styleId="8">
    <w:name w:val="Normal_6"/>
    <w:qFormat/>
    <w:uiPriority w:val="0"/>
    <w:rPr>
      <w:rFonts w:ascii="Times New Roman" w:hAnsi="Times New Roman" w:eastAsia="Times New Roman" w:cs="Times New Roman"/>
      <w:kern w:val="0"/>
      <w:sz w:val="24"/>
      <w:szCs w:val="24"/>
      <w:lang w:val="en-US" w:eastAsia="zh-CN" w:bidi="ar-SA"/>
    </w:rPr>
  </w:style>
  <w:style w:type="paragraph" w:customStyle="1" w:styleId="9">
    <w:name w:val="_Style 10"/>
    <w:basedOn w:val="10"/>
    <w:next w:val="11"/>
    <w:qFormat/>
    <w:uiPriority w:val="34"/>
    <w:pPr>
      <w:ind w:firstLine="420" w:firstLineChars="200"/>
    </w:pPr>
  </w:style>
  <w:style w:type="paragraph" w:customStyle="1" w:styleId="10">
    <w:name w:val="正文_0_0"/>
    <w:qFormat/>
    <w:uiPriority w:val="0"/>
    <w:pPr>
      <w:widowControl w:val="0"/>
      <w:jc w:val="both"/>
    </w:pPr>
    <w:rPr>
      <w:rFonts w:ascii="Calibri" w:hAnsi="Calibri" w:eastAsia="宋体" w:cs="Times New Roman"/>
      <w:kern w:val="0"/>
      <w:sz w:val="20"/>
      <w:szCs w:val="20"/>
      <w:lang w:val="en-US" w:eastAsia="zh-CN" w:bidi="ar-SA"/>
    </w:rPr>
  </w:style>
  <w:style w:type="paragraph" w:customStyle="1" w:styleId="11">
    <w:name w:val="List Paragraph_0"/>
    <w:basedOn w:val="8"/>
    <w:qFormat/>
    <w:uiPriority w:val="34"/>
    <w:pPr>
      <w:ind w:firstLine="420" w:firstLineChars="200"/>
    </w:pPr>
    <w:rPr>
      <w:rFonts w:ascii="宋体" w:hAnsi="宋体" w:eastAsia="宋体" w:cs="宋体"/>
    </w:rPr>
  </w:style>
  <w:style w:type="paragraph" w:customStyle="1" w:styleId="12">
    <w:name w:val="正文_1"/>
    <w:qFormat/>
    <w:uiPriority w:val="0"/>
    <w:pPr>
      <w:widowControl w:val="0"/>
      <w:jc w:val="both"/>
    </w:pPr>
    <w:rPr>
      <w:rFonts w:ascii="Times New Roman" w:hAnsi="Times New Roman" w:eastAsia="宋体" w:cs="Times New Roman"/>
      <w:kern w:val="0"/>
      <w:sz w:val="20"/>
      <w:szCs w:val="20"/>
      <w:lang w:val="en-US" w:eastAsia="zh-CN" w:bidi="ar-SA"/>
    </w:rPr>
  </w:style>
  <w:style w:type="paragraph" w:customStyle="1" w:styleId="13">
    <w:name w:val="Normal_5_1"/>
    <w:qFormat/>
    <w:uiPriority w:val="0"/>
    <w:pPr>
      <w:widowControl w:val="0"/>
      <w:jc w:val="both"/>
    </w:pPr>
    <w:rPr>
      <w:rFonts w:ascii="宋体" w:hAnsi="宋体" w:eastAsia="宋体" w:cs="宋体"/>
      <w:kern w:val="0"/>
      <w:sz w:val="20"/>
      <w:szCs w:val="20"/>
      <w:lang w:val="en-US" w:eastAsia="zh-CN" w:bidi="ar-SA"/>
    </w:rPr>
  </w:style>
  <w:style w:type="paragraph" w:customStyle="1" w:styleId="14">
    <w:name w:val="List Paragraph_1"/>
    <w:basedOn w:val="13"/>
    <w:qFormat/>
    <w:uiPriority w:val="99"/>
    <w:pPr>
      <w:widowControl/>
      <w:ind w:firstLine="420" w:firstLineChars="200"/>
      <w:jc w:val="left"/>
    </w:pPr>
    <w:rPr>
      <w:sz w:val="24"/>
      <w:szCs w:val="24"/>
    </w:rPr>
  </w:style>
  <w:style w:type="paragraph" w:customStyle="1" w:styleId="15">
    <w:name w:val="Normal_19"/>
    <w:qFormat/>
    <w:uiPriority w:val="0"/>
    <w:pPr>
      <w:widowControl w:val="0"/>
      <w:jc w:val="both"/>
    </w:pPr>
    <w:rPr>
      <w:rFonts w:ascii="Times New Roman" w:hAnsi="Times New Roman" w:eastAsia="等线" w:cs="Times New Roman"/>
      <w:kern w:val="0"/>
      <w:sz w:val="20"/>
      <w:szCs w:val="20"/>
      <w:lang w:val="en-US" w:eastAsia="zh-CN" w:bidi="ar-SA"/>
    </w:rPr>
  </w:style>
  <w:style w:type="paragraph" w:customStyle="1" w:styleId="16">
    <w:name w:val="List Paragraph_0_1"/>
    <w:basedOn w:val="15"/>
    <w:qFormat/>
    <w:uiPriority w:val="34"/>
    <w:pPr>
      <w:ind w:firstLine="420" w:firstLineChars="200"/>
    </w:pPr>
    <w:rPr>
      <w:rFonts w:ascii="宋体" w:hAnsi="宋体" w:eastAsia="宋体" w:cs="宋体"/>
    </w:rPr>
  </w:style>
  <w:style w:type="paragraph" w:customStyle="1" w:styleId="17">
    <w:name w:val="List Paragraph_1_0"/>
    <w:basedOn w:val="1"/>
    <w:qFormat/>
    <w:uiPriority w:val="34"/>
    <w:pPr>
      <w:ind w:firstLine="420" w:firstLineChars="20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8067CC-754E-40B8-8A41-C5CBE6A62420}">
  <ds:schemaRefs/>
</ds:datastoreItem>
</file>

<file path=docProps/app.xml><?xml version="1.0" encoding="utf-8"?>
<Properties xmlns="http://schemas.openxmlformats.org/officeDocument/2006/extended-properties" xmlns:vt="http://schemas.openxmlformats.org/officeDocument/2006/docPropsVTypes">
  <Template>Normal.dotm</Template>
  <Company>cr</Company>
  <Pages>8</Pages>
  <Words>764</Words>
  <Characters>4357</Characters>
  <Lines>36</Lines>
  <Paragraphs>10</Paragraphs>
  <TotalTime>15</TotalTime>
  <ScaleCrop>false</ScaleCrop>
  <LinksUpToDate>false</LinksUpToDate>
  <CharactersWithSpaces>5111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2023-07-28T06:23:00Z</dcterms:created>
  <dc:creator>吴煜</dc:creator>
  <cp:lastModifiedBy>gyb1</cp:lastModifiedBy>
  <cp:lastPrinted>2024-10-28T02:31:00Z</cp:lastPrinted>
  <dcterms:modified xsi:type="dcterms:W3CDTF">2024-11-08T02:13:26Z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ACCBC4242D234E599140E31FC2D432BD_13</vt:lpwstr>
  </property>
</Properties>
</file>