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943244">
      <w:pPr>
        <w:spacing w:line="480" w:lineRule="exact"/>
        <w:jc w:val="center"/>
        <w:rPr>
          <w:rFonts w:hint="eastAsia" w:ascii="楷体" w:hAnsi="楷体" w:eastAsia="楷体" w:cs="楷体"/>
          <w:b w:val="0"/>
          <w:bCs w:val="0"/>
          <w:sz w:val="28"/>
          <w:szCs w:val="28"/>
          <w:highlight w:val="none"/>
          <w:lang w:val="en-US" w:eastAsia="zh-CN"/>
        </w:rPr>
      </w:pPr>
      <w:r>
        <w:rPr>
          <w:rFonts w:hint="eastAsia" w:ascii="楷体" w:hAnsi="楷体" w:eastAsia="楷体" w:cs="楷体"/>
          <w:b w:val="0"/>
          <w:bCs w:val="0"/>
          <w:sz w:val="28"/>
          <w:szCs w:val="28"/>
          <w:highlight w:val="none"/>
          <w:lang w:val="en-US" w:eastAsia="zh-CN"/>
        </w:rPr>
        <w:t>“英德市人民医院医疗设备更新项目”和</w:t>
      </w:r>
    </w:p>
    <w:p w14:paraId="0CCA0008">
      <w:pPr>
        <w:spacing w:line="480" w:lineRule="exact"/>
        <w:jc w:val="center"/>
        <w:rPr>
          <w:rFonts w:hint="default" w:ascii="楷体" w:hAnsi="楷体" w:eastAsia="楷体" w:cs="楷体"/>
          <w:b w:val="0"/>
          <w:bCs w:val="0"/>
          <w:sz w:val="28"/>
          <w:szCs w:val="28"/>
          <w:highlight w:val="none"/>
          <w:lang w:val="en-US" w:eastAsia="zh-CN"/>
        </w:rPr>
      </w:pPr>
      <w:r>
        <w:rPr>
          <w:rFonts w:hint="eastAsia" w:ascii="楷体" w:hAnsi="楷体" w:eastAsia="楷体" w:cs="楷体"/>
          <w:b w:val="0"/>
          <w:bCs w:val="0"/>
          <w:sz w:val="28"/>
          <w:szCs w:val="28"/>
          <w:highlight w:val="none"/>
          <w:lang w:val="en-US" w:eastAsia="zh-CN"/>
        </w:rPr>
        <w:t>“英德市人民医院旧病房改造提升项目”编制可行性研究报告和资金申请服务项目</w:t>
      </w:r>
    </w:p>
    <w:p w14:paraId="30E7B8EA">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eastAsia" w:ascii="楷体" w:hAnsi="楷体" w:eastAsia="楷体" w:cs="楷体"/>
          <w:b/>
          <w:bCs/>
          <w:sz w:val="22"/>
          <w:szCs w:val="28"/>
        </w:rPr>
      </w:pPr>
      <w:r>
        <w:rPr>
          <w:rFonts w:hint="eastAsia" w:ascii="楷体" w:hAnsi="楷体" w:eastAsia="楷体" w:cs="楷体"/>
          <w:b/>
          <w:bCs/>
          <w:sz w:val="40"/>
          <w:szCs w:val="40"/>
          <w:highlight w:val="none"/>
          <w:lang w:val="en-US" w:eastAsia="zh-CN"/>
        </w:rPr>
        <w:t>综合性评审方案</w:t>
      </w:r>
    </w:p>
    <w:p w14:paraId="19AB9DB4">
      <w:pPr>
        <w:keepNext w:val="0"/>
        <w:keepLines w:val="0"/>
        <w:pageBreakBefore w:val="0"/>
        <w:widowControl w:val="0"/>
        <w:kinsoku/>
        <w:wordWrap/>
        <w:overflowPunct/>
        <w:topLinePunct w:val="0"/>
        <w:autoSpaceDE/>
        <w:autoSpaceDN/>
        <w:bidi w:val="0"/>
        <w:adjustRightInd/>
        <w:snapToGrid/>
        <w:spacing w:after="157" w:afterLines="50" w:line="360" w:lineRule="auto"/>
        <w:ind w:firstLine="520" w:firstLineChars="200"/>
        <w:textAlignment w:val="auto"/>
        <w:rPr>
          <w:rFonts w:hint="eastAsia" w:ascii="楷体" w:hAnsi="楷体" w:eastAsia="楷体" w:cs="楷体"/>
          <w:color w:val="auto"/>
          <w:sz w:val="24"/>
          <w:szCs w:val="24"/>
          <w:lang w:val="en-US" w:eastAsia="zh-CN"/>
        </w:rPr>
      </w:pPr>
      <w:r>
        <w:rPr>
          <w:rFonts w:hint="eastAsia" w:ascii="楷体" w:hAnsi="楷体" w:eastAsia="楷体" w:cs="楷体"/>
          <w:bCs/>
          <w:color w:val="auto"/>
          <w:spacing w:val="10"/>
          <w:sz w:val="24"/>
          <w:szCs w:val="24"/>
          <w:lang w:val="en-US" w:eastAsia="zh-CN"/>
        </w:rPr>
        <w:t>评审说明：为尽快争取超长期国债和地方专项债券资金，启动“英德市人民医院医疗设备更新项目”和“英德市人民医院旧病房改造提升项目”编制可行性研究报告和资金申请服务，以办理立项和申报手续。 根据《中华人民共和国政府采购法》、《中华人民共和国招标投标法》、《广东省政府集中采购目录及标准（2020年版）》和省市有关制度及医院采购管理规定结合院内采购实施细则制定如下综合评标方式对公司进行遴选。如下表：</w:t>
      </w:r>
    </w:p>
    <w:tbl>
      <w:tblPr>
        <w:tblStyle w:val="4"/>
        <w:tblW w:w="8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58"/>
        <w:gridCol w:w="882"/>
        <w:gridCol w:w="5336"/>
        <w:gridCol w:w="765"/>
        <w:gridCol w:w="699"/>
      </w:tblGrid>
      <w:tr w14:paraId="502A2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8840" w:type="dxa"/>
            <w:gridSpan w:val="5"/>
            <w:tcMar>
              <w:top w:w="12" w:type="dxa"/>
              <w:left w:w="12" w:type="dxa"/>
              <w:right w:w="12" w:type="dxa"/>
            </w:tcMar>
            <w:vAlign w:val="center"/>
          </w:tcPr>
          <w:p w14:paraId="4625D51C">
            <w:pPr>
              <w:widowControl/>
              <w:jc w:val="left"/>
              <w:textAlignment w:val="center"/>
              <w:rPr>
                <w:rFonts w:hint="eastAsia" w:ascii="楷体" w:hAnsi="楷体" w:eastAsia="楷体" w:cs="楷体"/>
                <w:b/>
                <w:color w:val="auto"/>
                <w:sz w:val="24"/>
                <w:szCs w:val="24"/>
              </w:rPr>
            </w:pPr>
            <w:r>
              <w:rPr>
                <w:rFonts w:hint="eastAsia" w:ascii="楷体" w:hAnsi="楷体" w:eastAsia="楷体" w:cs="楷体"/>
                <w:b/>
                <w:color w:val="auto"/>
                <w:kern w:val="0"/>
                <w:sz w:val="24"/>
                <w:szCs w:val="24"/>
                <w:lang w:bidi="ar"/>
              </w:rPr>
              <w:t>竞标</w:t>
            </w:r>
            <w:r>
              <w:rPr>
                <w:rFonts w:hint="eastAsia" w:ascii="楷体" w:hAnsi="楷体" w:eastAsia="楷体" w:cs="楷体"/>
                <w:b/>
                <w:color w:val="auto"/>
                <w:kern w:val="0"/>
                <w:sz w:val="24"/>
                <w:szCs w:val="24"/>
                <w:lang w:eastAsia="zh-CN" w:bidi="ar"/>
              </w:rPr>
              <w:t>公司</w:t>
            </w:r>
            <w:r>
              <w:rPr>
                <w:rFonts w:hint="eastAsia" w:ascii="楷体" w:hAnsi="楷体" w:eastAsia="楷体" w:cs="楷体"/>
                <w:b/>
                <w:color w:val="auto"/>
                <w:kern w:val="0"/>
                <w:sz w:val="24"/>
                <w:szCs w:val="24"/>
                <w:lang w:bidi="ar"/>
              </w:rPr>
              <w:t>：</w:t>
            </w:r>
          </w:p>
        </w:tc>
      </w:tr>
      <w:tr w14:paraId="72AB6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4" w:hRule="atLeast"/>
          <w:jc w:val="center"/>
        </w:trPr>
        <w:tc>
          <w:tcPr>
            <w:tcW w:w="8840" w:type="dxa"/>
            <w:gridSpan w:val="5"/>
            <w:tcMar>
              <w:top w:w="12" w:type="dxa"/>
              <w:left w:w="12" w:type="dxa"/>
              <w:right w:w="12" w:type="dxa"/>
            </w:tcMar>
            <w:vAlign w:val="center"/>
          </w:tcPr>
          <w:p w14:paraId="641190C1">
            <w:pPr>
              <w:widowControl/>
              <w:jc w:val="left"/>
              <w:textAlignment w:val="center"/>
              <w:rPr>
                <w:rFonts w:hint="eastAsia" w:ascii="楷体" w:hAnsi="楷体" w:eastAsia="楷体" w:cs="楷体"/>
                <w:b/>
                <w:color w:val="auto"/>
                <w:kern w:val="0"/>
                <w:sz w:val="24"/>
                <w:szCs w:val="24"/>
                <w:lang w:val="en-US" w:eastAsia="zh-CN" w:bidi="ar"/>
              </w:rPr>
            </w:pPr>
            <w:r>
              <w:rPr>
                <w:rFonts w:hint="eastAsia" w:ascii="楷体" w:hAnsi="楷体" w:eastAsia="楷体" w:cs="楷体"/>
                <w:b/>
                <w:color w:val="auto"/>
                <w:kern w:val="0"/>
                <w:sz w:val="24"/>
                <w:szCs w:val="24"/>
                <w:lang w:eastAsia="zh-CN" w:bidi="ar"/>
              </w:rPr>
              <w:t>评分人签名：</w:t>
            </w:r>
            <w:r>
              <w:rPr>
                <w:rFonts w:hint="eastAsia" w:ascii="楷体" w:hAnsi="楷体" w:eastAsia="楷体" w:cs="楷体"/>
                <w:b/>
                <w:color w:val="auto"/>
                <w:kern w:val="0"/>
                <w:sz w:val="24"/>
                <w:szCs w:val="24"/>
                <w:lang w:val="en-US" w:eastAsia="zh-CN" w:bidi="ar"/>
              </w:rPr>
              <w:t xml:space="preserve">                  </w:t>
            </w:r>
            <w:r>
              <w:rPr>
                <w:rFonts w:hint="eastAsia" w:ascii="楷体" w:hAnsi="楷体" w:eastAsia="楷体" w:cs="楷体"/>
                <w:b/>
                <w:color w:val="auto"/>
                <w:kern w:val="0"/>
                <w:sz w:val="24"/>
                <w:szCs w:val="24"/>
                <w:lang w:bidi="ar"/>
              </w:rPr>
              <w:t>评分</w:t>
            </w:r>
            <w:r>
              <w:rPr>
                <w:rFonts w:hint="eastAsia" w:ascii="楷体" w:hAnsi="楷体" w:eastAsia="楷体" w:cs="楷体"/>
                <w:b/>
                <w:color w:val="auto"/>
                <w:kern w:val="0"/>
                <w:sz w:val="24"/>
                <w:szCs w:val="24"/>
                <w:lang w:eastAsia="zh-CN" w:bidi="ar"/>
              </w:rPr>
              <w:t>日期</w:t>
            </w:r>
            <w:r>
              <w:rPr>
                <w:rFonts w:hint="eastAsia" w:ascii="楷体" w:hAnsi="楷体" w:eastAsia="楷体" w:cs="楷体"/>
                <w:b/>
                <w:color w:val="auto"/>
                <w:kern w:val="0"/>
                <w:sz w:val="24"/>
                <w:szCs w:val="24"/>
                <w:lang w:bidi="ar"/>
              </w:rPr>
              <w:t>：</w:t>
            </w:r>
            <w:r>
              <w:rPr>
                <w:rFonts w:hint="eastAsia" w:ascii="楷体" w:hAnsi="楷体" w:eastAsia="楷体" w:cs="楷体"/>
                <w:b/>
                <w:color w:val="auto"/>
                <w:kern w:val="0"/>
                <w:sz w:val="24"/>
                <w:szCs w:val="24"/>
                <w:lang w:val="en-US" w:eastAsia="zh-CN" w:bidi="ar"/>
              </w:rPr>
              <w:t xml:space="preserve">             评分合计：</w:t>
            </w:r>
          </w:p>
        </w:tc>
      </w:tr>
      <w:tr w14:paraId="6B687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158" w:type="dxa"/>
            <w:tcMar>
              <w:top w:w="12" w:type="dxa"/>
              <w:left w:w="12" w:type="dxa"/>
              <w:right w:w="12" w:type="dxa"/>
            </w:tcMar>
            <w:vAlign w:val="center"/>
          </w:tcPr>
          <w:p w14:paraId="0D42A0AC">
            <w:pPr>
              <w:widowControl/>
              <w:jc w:val="center"/>
              <w:textAlignment w:val="center"/>
              <w:rPr>
                <w:rFonts w:hint="eastAsia" w:ascii="楷体" w:hAnsi="楷体" w:eastAsia="楷体" w:cs="楷体"/>
                <w:b/>
                <w:color w:val="auto"/>
                <w:sz w:val="24"/>
                <w:szCs w:val="24"/>
              </w:rPr>
            </w:pPr>
            <w:r>
              <w:rPr>
                <w:rFonts w:hint="eastAsia" w:ascii="楷体" w:hAnsi="楷体" w:eastAsia="楷体" w:cs="楷体"/>
                <w:b/>
                <w:color w:val="auto"/>
                <w:kern w:val="0"/>
                <w:sz w:val="24"/>
                <w:szCs w:val="24"/>
                <w:lang w:bidi="ar"/>
              </w:rPr>
              <w:t>评审项目</w:t>
            </w:r>
          </w:p>
        </w:tc>
        <w:tc>
          <w:tcPr>
            <w:tcW w:w="882" w:type="dxa"/>
            <w:tcMar>
              <w:top w:w="12" w:type="dxa"/>
              <w:left w:w="12" w:type="dxa"/>
              <w:right w:w="12" w:type="dxa"/>
            </w:tcMar>
            <w:vAlign w:val="center"/>
          </w:tcPr>
          <w:p w14:paraId="4554DFFE">
            <w:pPr>
              <w:widowControl/>
              <w:jc w:val="center"/>
              <w:textAlignment w:val="center"/>
              <w:rPr>
                <w:rFonts w:hint="eastAsia" w:ascii="楷体" w:hAnsi="楷体" w:eastAsia="楷体" w:cs="楷体"/>
                <w:b/>
                <w:color w:val="auto"/>
                <w:sz w:val="24"/>
                <w:szCs w:val="24"/>
              </w:rPr>
            </w:pPr>
            <w:r>
              <w:rPr>
                <w:rFonts w:hint="eastAsia" w:ascii="楷体" w:hAnsi="楷体" w:eastAsia="楷体" w:cs="楷体"/>
                <w:b/>
                <w:color w:val="auto"/>
                <w:kern w:val="0"/>
                <w:sz w:val="24"/>
                <w:szCs w:val="24"/>
                <w:lang w:bidi="ar"/>
              </w:rPr>
              <w:t>标准分</w:t>
            </w:r>
          </w:p>
        </w:tc>
        <w:tc>
          <w:tcPr>
            <w:tcW w:w="5336" w:type="dxa"/>
            <w:tcMar>
              <w:top w:w="12" w:type="dxa"/>
              <w:left w:w="12" w:type="dxa"/>
              <w:right w:w="12" w:type="dxa"/>
            </w:tcMar>
            <w:vAlign w:val="center"/>
          </w:tcPr>
          <w:p w14:paraId="2B441193">
            <w:pPr>
              <w:widowControl/>
              <w:jc w:val="center"/>
              <w:textAlignment w:val="center"/>
              <w:rPr>
                <w:rFonts w:hint="eastAsia" w:ascii="楷体" w:hAnsi="楷体" w:eastAsia="楷体" w:cs="楷体"/>
                <w:b/>
                <w:color w:val="auto"/>
                <w:sz w:val="24"/>
                <w:szCs w:val="24"/>
              </w:rPr>
            </w:pPr>
            <w:r>
              <w:rPr>
                <w:rFonts w:hint="eastAsia" w:ascii="楷体" w:hAnsi="楷体" w:eastAsia="楷体" w:cs="楷体"/>
                <w:b/>
                <w:color w:val="auto"/>
                <w:kern w:val="0"/>
                <w:sz w:val="24"/>
                <w:szCs w:val="24"/>
                <w:lang w:bidi="ar"/>
              </w:rPr>
              <w:t>评审分项</w:t>
            </w:r>
          </w:p>
        </w:tc>
        <w:tc>
          <w:tcPr>
            <w:tcW w:w="765" w:type="dxa"/>
            <w:tcMar>
              <w:top w:w="12" w:type="dxa"/>
              <w:left w:w="12" w:type="dxa"/>
              <w:right w:w="12" w:type="dxa"/>
            </w:tcMar>
            <w:vAlign w:val="center"/>
          </w:tcPr>
          <w:p w14:paraId="1EF445DB">
            <w:pPr>
              <w:widowControl/>
              <w:jc w:val="center"/>
              <w:textAlignment w:val="center"/>
              <w:rPr>
                <w:rFonts w:hint="eastAsia" w:ascii="楷体" w:hAnsi="楷体" w:eastAsia="楷体" w:cs="楷体"/>
                <w:b/>
                <w:color w:val="auto"/>
                <w:sz w:val="24"/>
                <w:szCs w:val="24"/>
              </w:rPr>
            </w:pPr>
            <w:r>
              <w:rPr>
                <w:rFonts w:hint="eastAsia" w:ascii="楷体" w:hAnsi="楷体" w:eastAsia="楷体" w:cs="楷体"/>
                <w:b/>
                <w:color w:val="auto"/>
                <w:kern w:val="0"/>
                <w:sz w:val="24"/>
                <w:szCs w:val="24"/>
                <w:lang w:bidi="ar"/>
              </w:rPr>
              <w:t>得分</w:t>
            </w:r>
          </w:p>
        </w:tc>
        <w:tc>
          <w:tcPr>
            <w:tcW w:w="699" w:type="dxa"/>
            <w:tcMar>
              <w:top w:w="12" w:type="dxa"/>
              <w:left w:w="12" w:type="dxa"/>
              <w:right w:w="12" w:type="dxa"/>
            </w:tcMar>
            <w:vAlign w:val="center"/>
          </w:tcPr>
          <w:p w14:paraId="79640E1A">
            <w:pPr>
              <w:widowControl/>
              <w:jc w:val="center"/>
              <w:textAlignment w:val="center"/>
              <w:rPr>
                <w:rFonts w:hint="eastAsia" w:ascii="楷体" w:hAnsi="楷体" w:eastAsia="楷体" w:cs="楷体"/>
                <w:b/>
                <w:color w:val="auto"/>
                <w:sz w:val="24"/>
                <w:szCs w:val="24"/>
              </w:rPr>
            </w:pPr>
            <w:r>
              <w:rPr>
                <w:rFonts w:hint="eastAsia" w:ascii="楷体" w:hAnsi="楷体" w:eastAsia="楷体" w:cs="楷体"/>
                <w:b/>
                <w:color w:val="auto"/>
                <w:kern w:val="0"/>
                <w:sz w:val="24"/>
                <w:szCs w:val="24"/>
                <w:lang w:bidi="ar"/>
              </w:rPr>
              <w:t>备注</w:t>
            </w:r>
          </w:p>
        </w:tc>
      </w:tr>
      <w:tr w14:paraId="11D12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0" w:hRule="atLeast"/>
          <w:jc w:val="center"/>
        </w:trPr>
        <w:tc>
          <w:tcPr>
            <w:tcW w:w="1158" w:type="dxa"/>
            <w:vMerge w:val="restart"/>
            <w:tcMar>
              <w:top w:w="12" w:type="dxa"/>
              <w:left w:w="12" w:type="dxa"/>
              <w:right w:w="12" w:type="dxa"/>
            </w:tcMar>
            <w:vAlign w:val="center"/>
          </w:tcPr>
          <w:p w14:paraId="0F7FA2E1">
            <w:pPr>
              <w:widowControl/>
              <w:jc w:val="center"/>
              <w:textAlignment w:val="center"/>
              <w:rPr>
                <w:rFonts w:hint="eastAsia" w:ascii="楷体" w:hAnsi="楷体" w:eastAsia="楷体" w:cs="楷体"/>
                <w:color w:val="auto"/>
                <w:kern w:val="0"/>
                <w:sz w:val="24"/>
                <w:szCs w:val="24"/>
                <w:lang w:bidi="ar"/>
              </w:rPr>
            </w:pPr>
            <w:r>
              <w:rPr>
                <w:rFonts w:hint="eastAsia" w:ascii="楷体" w:hAnsi="楷体" w:eastAsia="楷体" w:cs="楷体"/>
                <w:color w:val="auto"/>
                <w:kern w:val="0"/>
                <w:sz w:val="24"/>
                <w:szCs w:val="24"/>
                <w:lang w:val="en-US" w:eastAsia="zh-CN" w:bidi="ar"/>
              </w:rPr>
              <w:t>商务</w:t>
            </w:r>
            <w:r>
              <w:rPr>
                <w:rFonts w:hint="eastAsia" w:ascii="楷体" w:hAnsi="楷体" w:eastAsia="楷体" w:cs="楷体"/>
                <w:color w:val="auto"/>
                <w:kern w:val="0"/>
                <w:sz w:val="24"/>
                <w:szCs w:val="24"/>
                <w:lang w:bidi="ar"/>
              </w:rPr>
              <w:t>部分</w:t>
            </w:r>
          </w:p>
          <w:p w14:paraId="5E51D3E1">
            <w:pPr>
              <w:widowControl/>
              <w:jc w:val="center"/>
              <w:textAlignment w:val="center"/>
              <w:rPr>
                <w:rFonts w:hint="eastAsia" w:ascii="楷体" w:hAnsi="楷体" w:eastAsia="楷体" w:cs="楷体"/>
                <w:color w:val="auto"/>
                <w:sz w:val="24"/>
                <w:szCs w:val="24"/>
              </w:rPr>
            </w:pPr>
            <w:r>
              <w:rPr>
                <w:rFonts w:hint="eastAsia" w:ascii="楷体" w:hAnsi="楷体" w:eastAsia="楷体" w:cs="楷体"/>
                <w:color w:val="auto"/>
                <w:kern w:val="0"/>
                <w:sz w:val="24"/>
                <w:szCs w:val="24"/>
                <w:lang w:bidi="ar"/>
              </w:rPr>
              <w:t>（</w:t>
            </w:r>
            <w:r>
              <w:rPr>
                <w:rFonts w:hint="eastAsia" w:ascii="楷体" w:hAnsi="楷体" w:eastAsia="楷体" w:cs="楷体"/>
                <w:color w:val="auto"/>
                <w:kern w:val="0"/>
                <w:sz w:val="24"/>
                <w:szCs w:val="24"/>
                <w:lang w:val="en-US" w:eastAsia="zh-CN" w:bidi="ar"/>
              </w:rPr>
              <w:t>30</w:t>
            </w:r>
            <w:r>
              <w:rPr>
                <w:rFonts w:hint="eastAsia" w:ascii="楷体" w:hAnsi="楷体" w:eastAsia="楷体" w:cs="楷体"/>
                <w:color w:val="auto"/>
                <w:kern w:val="0"/>
                <w:sz w:val="24"/>
                <w:szCs w:val="24"/>
                <w:lang w:bidi="ar"/>
              </w:rPr>
              <w:t>分）</w:t>
            </w:r>
          </w:p>
        </w:tc>
        <w:tc>
          <w:tcPr>
            <w:tcW w:w="882" w:type="dxa"/>
            <w:tcMar>
              <w:top w:w="12" w:type="dxa"/>
              <w:left w:w="12" w:type="dxa"/>
              <w:right w:w="12" w:type="dxa"/>
            </w:tcMar>
            <w:vAlign w:val="center"/>
          </w:tcPr>
          <w:p w14:paraId="7713EFA1">
            <w:pPr>
              <w:widowControl/>
              <w:jc w:val="center"/>
              <w:textAlignment w:val="center"/>
              <w:rPr>
                <w:rFonts w:hint="default"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4</w:t>
            </w:r>
          </w:p>
        </w:tc>
        <w:tc>
          <w:tcPr>
            <w:tcW w:w="5336" w:type="dxa"/>
            <w:tcMar>
              <w:top w:w="12" w:type="dxa"/>
              <w:left w:w="12" w:type="dxa"/>
              <w:right w:w="12" w:type="dxa"/>
            </w:tcMar>
            <w:vAlign w:val="center"/>
          </w:tcPr>
          <w:p w14:paraId="1957B2AE">
            <w:pPr>
              <w:widowControl/>
              <w:spacing w:line="240" w:lineRule="auto"/>
              <w:jc w:val="left"/>
              <w:rPr>
                <w:rFonts w:hint="eastAsia" w:ascii="楷体" w:hAnsi="楷体" w:eastAsia="楷体" w:cs="楷体"/>
                <w:b/>
                <w:bCs/>
                <w:i w:val="0"/>
                <w:iCs w:val="0"/>
                <w:color w:val="auto"/>
                <w:sz w:val="22"/>
                <w:szCs w:val="22"/>
                <w:highlight w:val="none"/>
                <w:lang w:eastAsia="zh-CN"/>
              </w:rPr>
            </w:pPr>
            <w:r>
              <w:rPr>
                <w:rFonts w:hint="eastAsia" w:ascii="楷体" w:hAnsi="楷体" w:eastAsia="楷体" w:cs="楷体"/>
                <w:b/>
                <w:bCs/>
                <w:i w:val="0"/>
                <w:iCs w:val="0"/>
                <w:color w:val="auto"/>
                <w:sz w:val="22"/>
                <w:szCs w:val="22"/>
                <w:highlight w:val="none"/>
              </w:rPr>
              <w:t>企业纳税</w:t>
            </w:r>
            <w:r>
              <w:rPr>
                <w:rFonts w:hint="eastAsia" w:ascii="楷体" w:hAnsi="楷体" w:eastAsia="楷体" w:cs="楷体"/>
                <w:b/>
                <w:bCs/>
                <w:i w:val="0"/>
                <w:iCs w:val="0"/>
                <w:color w:val="auto"/>
                <w:sz w:val="22"/>
                <w:szCs w:val="22"/>
                <w:highlight w:val="none"/>
                <w:lang w:val="en-US" w:eastAsia="zh-CN"/>
              </w:rPr>
              <w:t>信用情况：</w:t>
            </w:r>
          </w:p>
          <w:p w14:paraId="48C03CAF">
            <w:pPr>
              <w:widowControl/>
              <w:spacing w:line="240" w:lineRule="auto"/>
              <w:ind w:firstLine="420" w:firstLineChars="200"/>
              <w:jc w:val="left"/>
              <w:rPr>
                <w:rFonts w:hint="eastAsia" w:ascii="楷体" w:hAnsi="楷体" w:eastAsia="楷体" w:cs="楷体"/>
                <w:i w:val="0"/>
                <w:iCs w:val="0"/>
                <w:color w:val="auto"/>
                <w:sz w:val="21"/>
                <w:szCs w:val="21"/>
                <w:highlight w:val="none"/>
                <w:lang w:eastAsia="zh-CN"/>
              </w:rPr>
            </w:pPr>
            <w:r>
              <w:rPr>
                <w:rFonts w:hint="eastAsia" w:ascii="楷体" w:hAnsi="楷体" w:eastAsia="楷体" w:cs="楷体"/>
                <w:i w:val="0"/>
                <w:iCs w:val="0"/>
                <w:color w:val="auto"/>
                <w:sz w:val="21"/>
                <w:szCs w:val="21"/>
                <w:highlight w:val="none"/>
              </w:rPr>
              <w:t>1</w:t>
            </w:r>
            <w:r>
              <w:rPr>
                <w:rFonts w:hint="eastAsia" w:ascii="楷体" w:hAnsi="楷体" w:eastAsia="楷体" w:cs="楷体"/>
                <w:i w:val="0"/>
                <w:iCs w:val="0"/>
                <w:color w:val="auto"/>
                <w:sz w:val="21"/>
                <w:szCs w:val="21"/>
                <w:highlight w:val="none"/>
                <w:lang w:val="en-US" w:eastAsia="zh-CN"/>
              </w:rPr>
              <w:t>.</w:t>
            </w:r>
            <w:r>
              <w:rPr>
                <w:rFonts w:hint="eastAsia" w:ascii="楷体" w:hAnsi="楷体" w:eastAsia="楷体" w:cs="楷体"/>
                <w:b w:val="0"/>
                <w:bCs/>
                <w:i w:val="0"/>
                <w:iCs w:val="0"/>
                <w:color w:val="auto"/>
                <w:sz w:val="21"/>
                <w:szCs w:val="21"/>
                <w:highlight w:val="none"/>
              </w:rPr>
              <w:t>连续</w:t>
            </w:r>
            <w:r>
              <w:rPr>
                <w:rFonts w:hint="eastAsia" w:ascii="楷体" w:hAnsi="楷体" w:eastAsia="楷体" w:cs="楷体"/>
                <w:b w:val="0"/>
                <w:bCs/>
                <w:i w:val="0"/>
                <w:iCs w:val="0"/>
                <w:color w:val="auto"/>
                <w:sz w:val="21"/>
                <w:szCs w:val="21"/>
                <w:highlight w:val="none"/>
                <w:lang w:val="en-US" w:eastAsia="zh-CN"/>
              </w:rPr>
              <w:t>10</w:t>
            </w:r>
            <w:r>
              <w:rPr>
                <w:rFonts w:hint="eastAsia" w:ascii="楷体" w:hAnsi="楷体" w:eastAsia="楷体" w:cs="楷体"/>
                <w:b w:val="0"/>
                <w:bCs/>
                <w:i w:val="0"/>
                <w:iCs w:val="0"/>
                <w:color w:val="auto"/>
                <w:sz w:val="21"/>
                <w:szCs w:val="21"/>
                <w:highlight w:val="none"/>
              </w:rPr>
              <w:t>年</w:t>
            </w:r>
            <w:r>
              <w:rPr>
                <w:rFonts w:hint="eastAsia" w:ascii="楷体" w:hAnsi="楷体" w:eastAsia="楷体" w:cs="楷体"/>
                <w:b w:val="0"/>
                <w:bCs/>
                <w:i w:val="0"/>
                <w:iCs w:val="0"/>
                <w:color w:val="auto"/>
                <w:sz w:val="21"/>
                <w:szCs w:val="21"/>
                <w:highlight w:val="none"/>
                <w:lang w:eastAsia="zh-CN"/>
              </w:rPr>
              <w:t>（</w:t>
            </w:r>
            <w:r>
              <w:rPr>
                <w:rFonts w:hint="eastAsia" w:ascii="楷体" w:hAnsi="楷体" w:eastAsia="楷体" w:cs="楷体"/>
                <w:b w:val="0"/>
                <w:bCs/>
                <w:i w:val="0"/>
                <w:iCs w:val="0"/>
                <w:color w:val="auto"/>
                <w:sz w:val="21"/>
                <w:szCs w:val="21"/>
                <w:highlight w:val="none"/>
                <w:lang w:val="en-US" w:eastAsia="zh-CN"/>
              </w:rPr>
              <w:t>不含</w:t>
            </w:r>
            <w:r>
              <w:rPr>
                <w:rFonts w:hint="eastAsia" w:ascii="楷体" w:hAnsi="楷体" w:eastAsia="楷体" w:cs="楷体"/>
                <w:b w:val="0"/>
                <w:bCs/>
                <w:i w:val="0"/>
                <w:iCs w:val="0"/>
                <w:color w:val="auto"/>
                <w:sz w:val="21"/>
                <w:szCs w:val="21"/>
                <w:highlight w:val="none"/>
                <w:lang w:eastAsia="zh-CN"/>
              </w:rPr>
              <w:t>）</w:t>
            </w:r>
            <w:r>
              <w:rPr>
                <w:rFonts w:hint="eastAsia" w:ascii="楷体" w:hAnsi="楷体" w:eastAsia="楷体" w:cs="楷体"/>
                <w:b w:val="0"/>
                <w:bCs/>
                <w:i w:val="0"/>
                <w:iCs w:val="0"/>
                <w:color w:val="auto"/>
                <w:sz w:val="21"/>
                <w:szCs w:val="21"/>
                <w:highlight w:val="none"/>
              </w:rPr>
              <w:t>以上</w:t>
            </w:r>
            <w:r>
              <w:rPr>
                <w:rFonts w:hint="eastAsia" w:ascii="楷体" w:hAnsi="楷体" w:eastAsia="楷体" w:cs="楷体"/>
                <w:i w:val="0"/>
                <w:iCs w:val="0"/>
                <w:color w:val="auto"/>
                <w:sz w:val="21"/>
                <w:szCs w:val="21"/>
                <w:highlight w:val="none"/>
              </w:rPr>
              <w:t>被国家税务主管部门评为年度纳税信用A级或以上等级的，得</w:t>
            </w:r>
            <w:r>
              <w:rPr>
                <w:rFonts w:hint="eastAsia" w:ascii="楷体" w:hAnsi="楷体" w:eastAsia="楷体" w:cs="楷体"/>
                <w:i w:val="0"/>
                <w:iCs w:val="0"/>
                <w:color w:val="auto"/>
                <w:sz w:val="21"/>
                <w:szCs w:val="21"/>
                <w:highlight w:val="none"/>
                <w:lang w:val="en-US" w:eastAsia="zh-CN"/>
              </w:rPr>
              <w:t>4</w:t>
            </w:r>
            <w:r>
              <w:rPr>
                <w:rFonts w:hint="eastAsia" w:ascii="楷体" w:hAnsi="楷体" w:eastAsia="楷体" w:cs="楷体"/>
                <w:i w:val="0"/>
                <w:iCs w:val="0"/>
                <w:color w:val="auto"/>
                <w:sz w:val="21"/>
                <w:szCs w:val="21"/>
                <w:highlight w:val="none"/>
              </w:rPr>
              <w:t>分</w:t>
            </w:r>
            <w:r>
              <w:rPr>
                <w:rFonts w:hint="eastAsia" w:ascii="楷体" w:hAnsi="楷体" w:eastAsia="楷体" w:cs="楷体"/>
                <w:i w:val="0"/>
                <w:iCs w:val="0"/>
                <w:color w:val="auto"/>
                <w:sz w:val="21"/>
                <w:szCs w:val="21"/>
                <w:highlight w:val="none"/>
                <w:lang w:eastAsia="zh-CN"/>
              </w:rPr>
              <w:t>；</w:t>
            </w:r>
          </w:p>
          <w:p w14:paraId="55F3CAED">
            <w:pPr>
              <w:widowControl/>
              <w:spacing w:line="240" w:lineRule="auto"/>
              <w:ind w:firstLine="420" w:firstLineChars="200"/>
              <w:jc w:val="left"/>
              <w:rPr>
                <w:rFonts w:hint="eastAsia" w:ascii="楷体" w:hAnsi="楷体" w:eastAsia="楷体" w:cs="楷体"/>
                <w:i w:val="0"/>
                <w:iCs w:val="0"/>
                <w:color w:val="auto"/>
                <w:sz w:val="21"/>
                <w:szCs w:val="21"/>
                <w:highlight w:val="none"/>
                <w:lang w:eastAsia="zh-CN"/>
              </w:rPr>
            </w:pPr>
            <w:r>
              <w:rPr>
                <w:rFonts w:hint="eastAsia" w:ascii="楷体" w:hAnsi="楷体" w:eastAsia="楷体" w:cs="楷体"/>
                <w:i w:val="0"/>
                <w:iCs w:val="0"/>
                <w:color w:val="auto"/>
                <w:sz w:val="21"/>
                <w:szCs w:val="21"/>
                <w:highlight w:val="none"/>
              </w:rPr>
              <w:t>2</w:t>
            </w:r>
            <w:r>
              <w:rPr>
                <w:rFonts w:hint="eastAsia" w:ascii="楷体" w:hAnsi="楷体" w:eastAsia="楷体" w:cs="楷体"/>
                <w:i w:val="0"/>
                <w:iCs w:val="0"/>
                <w:color w:val="auto"/>
                <w:sz w:val="21"/>
                <w:szCs w:val="21"/>
                <w:highlight w:val="none"/>
                <w:lang w:val="en-US" w:eastAsia="zh-CN"/>
              </w:rPr>
              <w:t>.</w:t>
            </w:r>
            <w:r>
              <w:rPr>
                <w:rFonts w:hint="eastAsia" w:ascii="楷体" w:hAnsi="楷体" w:eastAsia="楷体" w:cs="楷体"/>
                <w:i w:val="0"/>
                <w:iCs w:val="0"/>
                <w:color w:val="auto"/>
                <w:sz w:val="21"/>
                <w:szCs w:val="21"/>
                <w:highlight w:val="none"/>
              </w:rPr>
              <w:t>连续</w:t>
            </w:r>
            <w:r>
              <w:rPr>
                <w:rFonts w:hint="eastAsia" w:ascii="楷体" w:hAnsi="楷体" w:eastAsia="楷体" w:cs="楷体"/>
                <w:i w:val="0"/>
                <w:iCs w:val="0"/>
                <w:color w:val="auto"/>
                <w:sz w:val="21"/>
                <w:szCs w:val="21"/>
                <w:highlight w:val="none"/>
                <w:lang w:val="en-US" w:eastAsia="zh-CN"/>
              </w:rPr>
              <w:t>6</w:t>
            </w:r>
            <w:r>
              <w:rPr>
                <w:rFonts w:hint="eastAsia" w:ascii="楷体" w:hAnsi="楷体" w:eastAsia="楷体" w:cs="楷体"/>
                <w:i w:val="0"/>
                <w:iCs w:val="0"/>
                <w:color w:val="auto"/>
                <w:sz w:val="21"/>
                <w:szCs w:val="21"/>
                <w:highlight w:val="none"/>
              </w:rPr>
              <w:t>-</w:t>
            </w:r>
            <w:r>
              <w:rPr>
                <w:rFonts w:hint="eastAsia" w:ascii="楷体" w:hAnsi="楷体" w:eastAsia="楷体" w:cs="楷体"/>
                <w:i w:val="0"/>
                <w:iCs w:val="0"/>
                <w:color w:val="auto"/>
                <w:sz w:val="21"/>
                <w:szCs w:val="21"/>
                <w:highlight w:val="none"/>
                <w:lang w:val="en-US" w:eastAsia="zh-CN"/>
              </w:rPr>
              <w:t>10</w:t>
            </w:r>
            <w:r>
              <w:rPr>
                <w:rFonts w:hint="eastAsia" w:ascii="楷体" w:hAnsi="楷体" w:eastAsia="楷体" w:cs="楷体"/>
                <w:i w:val="0"/>
                <w:iCs w:val="0"/>
                <w:color w:val="auto"/>
                <w:sz w:val="21"/>
                <w:szCs w:val="21"/>
                <w:highlight w:val="none"/>
              </w:rPr>
              <w:t>年</w:t>
            </w:r>
            <w:r>
              <w:rPr>
                <w:rFonts w:hint="eastAsia" w:ascii="楷体" w:hAnsi="楷体" w:eastAsia="楷体" w:cs="楷体"/>
                <w:i w:val="0"/>
                <w:iCs w:val="0"/>
                <w:color w:val="auto"/>
                <w:sz w:val="21"/>
                <w:szCs w:val="21"/>
                <w:highlight w:val="none"/>
                <w:lang w:eastAsia="zh-CN"/>
              </w:rPr>
              <w:t>（</w:t>
            </w:r>
            <w:r>
              <w:rPr>
                <w:rFonts w:hint="eastAsia" w:ascii="楷体" w:hAnsi="楷体" w:eastAsia="楷体" w:cs="楷体"/>
                <w:i w:val="0"/>
                <w:iCs w:val="0"/>
                <w:color w:val="auto"/>
                <w:sz w:val="21"/>
                <w:szCs w:val="21"/>
                <w:highlight w:val="none"/>
                <w:lang w:val="en-US" w:eastAsia="zh-CN"/>
              </w:rPr>
              <w:t>含</w:t>
            </w:r>
            <w:r>
              <w:rPr>
                <w:rFonts w:hint="eastAsia" w:ascii="楷体" w:hAnsi="楷体" w:eastAsia="楷体" w:cs="楷体"/>
                <w:i w:val="0"/>
                <w:iCs w:val="0"/>
                <w:color w:val="auto"/>
                <w:sz w:val="21"/>
                <w:szCs w:val="21"/>
                <w:highlight w:val="none"/>
                <w:lang w:eastAsia="zh-CN"/>
              </w:rPr>
              <w:t>）</w:t>
            </w:r>
            <w:r>
              <w:rPr>
                <w:rFonts w:hint="eastAsia" w:ascii="楷体" w:hAnsi="楷体" w:eastAsia="楷体" w:cs="楷体"/>
                <w:i w:val="0"/>
                <w:iCs w:val="0"/>
                <w:color w:val="auto"/>
                <w:sz w:val="21"/>
                <w:szCs w:val="21"/>
                <w:highlight w:val="none"/>
              </w:rPr>
              <w:t>被国家税务主管部门评为年度纳税信用A级或以上等级的，得</w:t>
            </w:r>
            <w:r>
              <w:rPr>
                <w:rFonts w:hint="eastAsia" w:ascii="楷体" w:hAnsi="楷体" w:eastAsia="楷体" w:cs="楷体"/>
                <w:i w:val="0"/>
                <w:iCs w:val="0"/>
                <w:color w:val="auto"/>
                <w:sz w:val="21"/>
                <w:szCs w:val="21"/>
                <w:highlight w:val="none"/>
                <w:lang w:val="en-US" w:eastAsia="zh-CN"/>
              </w:rPr>
              <w:t>2</w:t>
            </w:r>
            <w:r>
              <w:rPr>
                <w:rFonts w:hint="eastAsia" w:ascii="楷体" w:hAnsi="楷体" w:eastAsia="楷体" w:cs="楷体"/>
                <w:i w:val="0"/>
                <w:iCs w:val="0"/>
                <w:color w:val="auto"/>
                <w:sz w:val="21"/>
                <w:szCs w:val="21"/>
                <w:highlight w:val="none"/>
              </w:rPr>
              <w:t>分</w:t>
            </w:r>
            <w:r>
              <w:rPr>
                <w:rFonts w:hint="eastAsia" w:ascii="楷体" w:hAnsi="楷体" w:eastAsia="楷体" w:cs="楷体"/>
                <w:i w:val="0"/>
                <w:iCs w:val="0"/>
                <w:color w:val="auto"/>
                <w:sz w:val="21"/>
                <w:szCs w:val="21"/>
                <w:highlight w:val="none"/>
                <w:lang w:eastAsia="zh-CN"/>
              </w:rPr>
              <w:t>；</w:t>
            </w:r>
          </w:p>
          <w:p w14:paraId="4698BB5B">
            <w:pPr>
              <w:widowControl/>
              <w:spacing w:line="240" w:lineRule="auto"/>
              <w:ind w:firstLine="420" w:firstLineChars="200"/>
              <w:jc w:val="left"/>
              <w:rPr>
                <w:rFonts w:hint="eastAsia" w:ascii="楷体" w:hAnsi="楷体" w:eastAsia="楷体" w:cs="楷体"/>
                <w:i w:val="0"/>
                <w:iCs w:val="0"/>
                <w:color w:val="auto"/>
                <w:sz w:val="21"/>
                <w:szCs w:val="21"/>
                <w:highlight w:val="none"/>
              </w:rPr>
            </w:pPr>
            <w:r>
              <w:rPr>
                <w:rFonts w:hint="eastAsia" w:ascii="楷体" w:hAnsi="楷体" w:eastAsia="楷体" w:cs="楷体"/>
                <w:i w:val="0"/>
                <w:iCs w:val="0"/>
                <w:color w:val="auto"/>
                <w:sz w:val="21"/>
                <w:szCs w:val="21"/>
                <w:highlight w:val="none"/>
              </w:rPr>
              <w:t>3</w:t>
            </w:r>
            <w:r>
              <w:rPr>
                <w:rFonts w:hint="eastAsia" w:ascii="楷体" w:hAnsi="楷体" w:eastAsia="楷体" w:cs="楷体"/>
                <w:i w:val="0"/>
                <w:iCs w:val="0"/>
                <w:color w:val="auto"/>
                <w:sz w:val="21"/>
                <w:szCs w:val="21"/>
                <w:highlight w:val="none"/>
                <w:lang w:val="en-US" w:eastAsia="zh-CN"/>
              </w:rPr>
              <w:t>.</w:t>
            </w:r>
            <w:r>
              <w:rPr>
                <w:rFonts w:hint="eastAsia" w:ascii="楷体" w:hAnsi="楷体" w:eastAsia="楷体" w:cs="楷体"/>
                <w:i w:val="0"/>
                <w:iCs w:val="0"/>
                <w:color w:val="auto"/>
                <w:sz w:val="21"/>
                <w:szCs w:val="21"/>
                <w:highlight w:val="none"/>
              </w:rPr>
              <w:t>连续1-</w:t>
            </w:r>
            <w:r>
              <w:rPr>
                <w:rFonts w:hint="eastAsia" w:ascii="楷体" w:hAnsi="楷体" w:eastAsia="楷体" w:cs="楷体"/>
                <w:i w:val="0"/>
                <w:iCs w:val="0"/>
                <w:color w:val="auto"/>
                <w:sz w:val="21"/>
                <w:szCs w:val="21"/>
                <w:highlight w:val="none"/>
                <w:lang w:val="en-US" w:eastAsia="zh-CN"/>
              </w:rPr>
              <w:t>5</w:t>
            </w:r>
            <w:r>
              <w:rPr>
                <w:rFonts w:hint="eastAsia" w:ascii="楷体" w:hAnsi="楷体" w:eastAsia="楷体" w:cs="楷体"/>
                <w:i w:val="0"/>
                <w:iCs w:val="0"/>
                <w:color w:val="auto"/>
                <w:sz w:val="21"/>
                <w:szCs w:val="21"/>
                <w:highlight w:val="none"/>
              </w:rPr>
              <w:t>年被国家税务主管部门评为年度纳税信用A级或以上等级的，得</w:t>
            </w:r>
            <w:r>
              <w:rPr>
                <w:rFonts w:hint="eastAsia" w:ascii="楷体" w:hAnsi="楷体" w:eastAsia="楷体" w:cs="楷体"/>
                <w:i w:val="0"/>
                <w:iCs w:val="0"/>
                <w:color w:val="auto"/>
                <w:sz w:val="21"/>
                <w:szCs w:val="21"/>
                <w:highlight w:val="none"/>
                <w:lang w:val="en-US" w:eastAsia="zh-CN"/>
              </w:rPr>
              <w:t>1</w:t>
            </w:r>
            <w:r>
              <w:rPr>
                <w:rFonts w:hint="eastAsia" w:ascii="楷体" w:hAnsi="楷体" w:eastAsia="楷体" w:cs="楷体"/>
                <w:i w:val="0"/>
                <w:iCs w:val="0"/>
                <w:color w:val="auto"/>
                <w:sz w:val="21"/>
                <w:szCs w:val="21"/>
                <w:highlight w:val="none"/>
              </w:rPr>
              <w:t>分。没有的不得分。</w:t>
            </w:r>
          </w:p>
          <w:p w14:paraId="431226C8">
            <w:pPr>
              <w:widowControl/>
              <w:ind w:firstLine="420" w:firstLineChars="200"/>
              <w:jc w:val="left"/>
              <w:textAlignment w:val="center"/>
              <w:rPr>
                <w:rFonts w:hint="eastAsia" w:ascii="楷体" w:hAnsi="楷体" w:eastAsia="楷体" w:cs="楷体"/>
                <w:b w:val="0"/>
                <w:bCs w:val="0"/>
                <w:color w:val="auto"/>
                <w:kern w:val="0"/>
                <w:sz w:val="24"/>
                <w:szCs w:val="24"/>
                <w:lang w:val="en-US" w:eastAsia="zh-CN" w:bidi="ar"/>
              </w:rPr>
            </w:pPr>
            <w:r>
              <w:rPr>
                <w:rFonts w:hint="eastAsia" w:ascii="楷体" w:hAnsi="楷体" w:eastAsia="楷体" w:cs="楷体"/>
                <w:i w:val="0"/>
                <w:iCs w:val="0"/>
                <w:color w:val="auto"/>
                <w:sz w:val="21"/>
                <w:szCs w:val="21"/>
                <w:highlight w:val="none"/>
              </w:rPr>
              <w:t>注：需提供税务部门官网查询截图或相关证书扫描件。提供证书扫描件的需加盖投标单位印章。</w:t>
            </w:r>
          </w:p>
        </w:tc>
        <w:tc>
          <w:tcPr>
            <w:tcW w:w="765" w:type="dxa"/>
            <w:tcMar>
              <w:top w:w="12" w:type="dxa"/>
              <w:left w:w="12" w:type="dxa"/>
              <w:right w:w="12" w:type="dxa"/>
            </w:tcMar>
            <w:vAlign w:val="center"/>
          </w:tcPr>
          <w:p w14:paraId="5CC53552">
            <w:pPr>
              <w:widowControl/>
              <w:jc w:val="center"/>
              <w:textAlignment w:val="center"/>
              <w:rPr>
                <w:rFonts w:hint="eastAsia" w:ascii="楷体" w:hAnsi="楷体" w:eastAsia="楷体" w:cs="楷体"/>
                <w:color w:val="auto"/>
                <w:sz w:val="24"/>
                <w:szCs w:val="24"/>
              </w:rPr>
            </w:pPr>
          </w:p>
        </w:tc>
        <w:tc>
          <w:tcPr>
            <w:tcW w:w="699" w:type="dxa"/>
            <w:tcMar>
              <w:top w:w="12" w:type="dxa"/>
              <w:left w:w="12" w:type="dxa"/>
              <w:right w:w="12" w:type="dxa"/>
            </w:tcMar>
            <w:vAlign w:val="center"/>
          </w:tcPr>
          <w:p w14:paraId="3EFDA01B">
            <w:pPr>
              <w:widowControl/>
              <w:jc w:val="center"/>
              <w:textAlignment w:val="center"/>
              <w:rPr>
                <w:rFonts w:hint="default" w:ascii="楷体" w:hAnsi="楷体" w:eastAsia="楷体" w:cs="楷体"/>
                <w:color w:val="auto"/>
                <w:sz w:val="24"/>
                <w:szCs w:val="24"/>
                <w:lang w:val="en-US" w:eastAsia="zh-CN"/>
              </w:rPr>
            </w:pPr>
          </w:p>
        </w:tc>
      </w:tr>
      <w:tr w14:paraId="5D555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0" w:hRule="atLeast"/>
          <w:jc w:val="center"/>
        </w:trPr>
        <w:tc>
          <w:tcPr>
            <w:tcW w:w="1158" w:type="dxa"/>
            <w:vMerge w:val="continue"/>
            <w:tcMar>
              <w:top w:w="12" w:type="dxa"/>
              <w:left w:w="12" w:type="dxa"/>
              <w:right w:w="12" w:type="dxa"/>
            </w:tcMar>
            <w:vAlign w:val="center"/>
          </w:tcPr>
          <w:p w14:paraId="5BE026D5">
            <w:pPr>
              <w:jc w:val="center"/>
              <w:rPr>
                <w:rFonts w:hint="eastAsia" w:ascii="楷体" w:hAnsi="楷体" w:eastAsia="楷体" w:cs="楷体"/>
                <w:color w:val="auto"/>
                <w:sz w:val="24"/>
                <w:szCs w:val="24"/>
              </w:rPr>
            </w:pPr>
          </w:p>
        </w:tc>
        <w:tc>
          <w:tcPr>
            <w:tcW w:w="882" w:type="dxa"/>
            <w:tcMar>
              <w:top w:w="12" w:type="dxa"/>
              <w:left w:w="12" w:type="dxa"/>
              <w:right w:w="12" w:type="dxa"/>
            </w:tcMar>
            <w:vAlign w:val="center"/>
          </w:tcPr>
          <w:p w14:paraId="4E454327">
            <w:pPr>
              <w:widowControl/>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kern w:val="0"/>
                <w:sz w:val="24"/>
                <w:szCs w:val="24"/>
                <w:lang w:val="en-US" w:eastAsia="zh-CN" w:bidi="ar"/>
              </w:rPr>
              <w:t>6</w:t>
            </w:r>
          </w:p>
        </w:tc>
        <w:tc>
          <w:tcPr>
            <w:tcW w:w="5336" w:type="dxa"/>
            <w:tcMar>
              <w:top w:w="12" w:type="dxa"/>
              <w:left w:w="12" w:type="dxa"/>
              <w:right w:w="12" w:type="dxa"/>
            </w:tcMar>
            <w:vAlign w:val="center"/>
          </w:tcPr>
          <w:p w14:paraId="6E284AD5">
            <w:pPr>
              <w:spacing w:line="240" w:lineRule="auto"/>
              <w:rPr>
                <w:rFonts w:hint="eastAsia" w:ascii="楷体" w:hAnsi="楷体" w:eastAsia="楷体" w:cs="楷体"/>
                <w:b/>
                <w:bCs/>
                <w:i w:val="0"/>
                <w:iCs w:val="0"/>
                <w:color w:val="auto"/>
                <w:szCs w:val="21"/>
                <w:highlight w:val="none"/>
                <w:lang w:val="en-US" w:eastAsia="zh-CN"/>
              </w:rPr>
            </w:pPr>
            <w:r>
              <w:rPr>
                <w:rFonts w:hint="eastAsia" w:ascii="楷体" w:hAnsi="楷体" w:eastAsia="楷体" w:cs="楷体"/>
                <w:b/>
                <w:bCs/>
                <w:i w:val="0"/>
                <w:iCs w:val="0"/>
                <w:color w:val="auto"/>
                <w:szCs w:val="21"/>
                <w:highlight w:val="none"/>
                <w:lang w:val="en-US" w:eastAsia="zh-CN"/>
              </w:rPr>
              <w:t>公司情况：</w:t>
            </w:r>
          </w:p>
          <w:p w14:paraId="121BB2F8">
            <w:pPr>
              <w:spacing w:line="240" w:lineRule="auto"/>
              <w:ind w:firstLine="420" w:firstLineChars="200"/>
              <w:rPr>
                <w:rFonts w:hint="eastAsia" w:ascii="楷体" w:hAnsi="楷体" w:eastAsia="楷体" w:cs="楷体"/>
                <w:i w:val="0"/>
                <w:iCs w:val="0"/>
                <w:color w:val="auto"/>
                <w:szCs w:val="21"/>
                <w:highlight w:val="none"/>
              </w:rPr>
            </w:pPr>
            <w:r>
              <w:rPr>
                <w:rFonts w:hint="eastAsia" w:ascii="楷体" w:hAnsi="楷体" w:eastAsia="楷体" w:cs="楷体"/>
                <w:i w:val="0"/>
                <w:iCs w:val="0"/>
                <w:color w:val="auto"/>
                <w:szCs w:val="21"/>
                <w:highlight w:val="none"/>
              </w:rPr>
              <w:t>投标人同时具备</w:t>
            </w:r>
            <w:r>
              <w:rPr>
                <w:rFonts w:hint="eastAsia" w:ascii="楷体" w:hAnsi="楷体" w:eastAsia="楷体" w:cs="楷体"/>
                <w:i w:val="0"/>
                <w:iCs w:val="0"/>
                <w:color w:val="auto"/>
                <w:szCs w:val="21"/>
                <w:highlight w:val="none"/>
                <w:lang w:val="en-US" w:eastAsia="zh-CN"/>
              </w:rPr>
              <w:t>①</w:t>
            </w:r>
            <w:r>
              <w:rPr>
                <w:rFonts w:hint="eastAsia" w:ascii="楷体" w:hAnsi="楷体" w:eastAsia="楷体" w:cs="楷体"/>
                <w:i w:val="0"/>
                <w:iCs w:val="0"/>
                <w:color w:val="auto"/>
                <w:szCs w:val="21"/>
                <w:highlight w:val="none"/>
              </w:rPr>
              <w:t>质量管理体系认证、</w:t>
            </w:r>
            <w:r>
              <w:rPr>
                <w:rFonts w:hint="eastAsia" w:ascii="楷体" w:hAnsi="楷体" w:eastAsia="楷体" w:cs="楷体"/>
                <w:i w:val="0"/>
                <w:iCs w:val="0"/>
                <w:color w:val="auto"/>
                <w:szCs w:val="21"/>
                <w:highlight w:val="none"/>
                <w:lang w:val="en-US" w:eastAsia="zh-CN"/>
              </w:rPr>
              <w:t>②</w:t>
            </w:r>
            <w:r>
              <w:rPr>
                <w:rFonts w:hint="eastAsia" w:ascii="楷体" w:hAnsi="楷体" w:eastAsia="楷体" w:cs="楷体"/>
                <w:i w:val="0"/>
                <w:iCs w:val="0"/>
                <w:color w:val="auto"/>
                <w:szCs w:val="21"/>
                <w:highlight w:val="none"/>
              </w:rPr>
              <w:t>职业健康安全管理体系认证、</w:t>
            </w:r>
            <w:r>
              <w:rPr>
                <w:rFonts w:hint="eastAsia" w:ascii="楷体" w:hAnsi="楷体" w:eastAsia="楷体" w:cs="楷体"/>
                <w:i w:val="0"/>
                <w:iCs w:val="0"/>
                <w:color w:val="auto"/>
                <w:szCs w:val="21"/>
                <w:highlight w:val="none"/>
                <w:lang w:val="en-US" w:eastAsia="zh-CN"/>
              </w:rPr>
              <w:t>③</w:t>
            </w:r>
            <w:r>
              <w:rPr>
                <w:rFonts w:hint="eastAsia" w:ascii="楷体" w:hAnsi="楷体" w:eastAsia="楷体" w:cs="楷体"/>
                <w:i w:val="0"/>
                <w:iCs w:val="0"/>
                <w:color w:val="auto"/>
                <w:szCs w:val="21"/>
                <w:highlight w:val="none"/>
              </w:rPr>
              <w:t>环境管理体系认证、</w:t>
            </w:r>
            <w:r>
              <w:rPr>
                <w:rFonts w:hint="eastAsia" w:ascii="楷体" w:hAnsi="楷体" w:eastAsia="楷体" w:cs="楷体"/>
                <w:i w:val="0"/>
                <w:iCs w:val="0"/>
                <w:color w:val="auto"/>
                <w:szCs w:val="21"/>
                <w:highlight w:val="none"/>
                <w:lang w:val="en-US" w:eastAsia="zh-CN"/>
              </w:rPr>
              <w:t>④</w:t>
            </w:r>
            <w:r>
              <w:rPr>
                <w:rFonts w:hint="eastAsia" w:ascii="楷体" w:hAnsi="楷体" w:eastAsia="楷体" w:cs="楷体"/>
                <w:i w:val="0"/>
                <w:iCs w:val="0"/>
                <w:color w:val="auto"/>
                <w:szCs w:val="21"/>
                <w:highlight w:val="none"/>
              </w:rPr>
              <w:t>信息安全管理体系认证、</w:t>
            </w:r>
            <w:r>
              <w:rPr>
                <w:rFonts w:hint="eastAsia" w:ascii="楷体" w:hAnsi="楷体" w:eastAsia="楷体" w:cs="楷体"/>
                <w:i w:val="0"/>
                <w:iCs w:val="0"/>
                <w:color w:val="auto"/>
                <w:szCs w:val="21"/>
                <w:highlight w:val="none"/>
                <w:lang w:val="en-US" w:eastAsia="zh-CN"/>
              </w:rPr>
              <w:t>⑤服务质量评价</w:t>
            </w:r>
            <w:r>
              <w:rPr>
                <w:rFonts w:hint="eastAsia" w:ascii="楷体" w:hAnsi="楷体" w:eastAsia="楷体" w:cs="楷体"/>
                <w:i w:val="0"/>
                <w:iCs w:val="0"/>
                <w:color w:val="auto"/>
                <w:szCs w:val="21"/>
                <w:highlight w:val="none"/>
              </w:rPr>
              <w:t>体系认证</w:t>
            </w:r>
            <w:r>
              <w:rPr>
                <w:rFonts w:hint="eastAsia" w:ascii="楷体" w:hAnsi="楷体" w:eastAsia="楷体" w:cs="楷体"/>
                <w:i w:val="0"/>
                <w:iCs w:val="0"/>
                <w:color w:val="auto"/>
                <w:szCs w:val="21"/>
                <w:highlight w:val="none"/>
                <w:lang w:eastAsia="zh-CN"/>
              </w:rPr>
              <w:t>、</w:t>
            </w:r>
            <w:r>
              <w:rPr>
                <w:rFonts w:hint="eastAsia" w:ascii="楷体" w:hAnsi="楷体" w:eastAsia="楷体" w:cs="楷体"/>
                <w:i w:val="0"/>
                <w:iCs w:val="0"/>
                <w:color w:val="auto"/>
                <w:szCs w:val="21"/>
                <w:highlight w:val="none"/>
                <w:lang w:val="en-US" w:eastAsia="zh-CN"/>
              </w:rPr>
              <w:t>⑥</w:t>
            </w:r>
            <w:r>
              <w:rPr>
                <w:rFonts w:hint="eastAsia" w:ascii="楷体" w:hAnsi="楷体" w:eastAsia="楷体" w:cs="楷体"/>
                <w:b w:val="0"/>
                <w:bCs w:val="0"/>
                <w:color w:val="auto"/>
                <w:szCs w:val="21"/>
                <w:highlight w:val="none"/>
              </w:rPr>
              <w:t>企业诚信管理体系认证</w:t>
            </w:r>
            <w:r>
              <w:rPr>
                <w:rFonts w:hint="eastAsia" w:ascii="楷体" w:hAnsi="楷体" w:eastAsia="楷体" w:cs="楷体"/>
                <w:i w:val="0"/>
                <w:iCs w:val="0"/>
                <w:color w:val="auto"/>
                <w:szCs w:val="21"/>
                <w:highlight w:val="none"/>
              </w:rPr>
              <w:t>证书且在有效期内的</w:t>
            </w:r>
            <w:r>
              <w:rPr>
                <w:rFonts w:hint="eastAsia" w:ascii="楷体" w:hAnsi="楷体" w:eastAsia="楷体" w:cs="楷体"/>
                <w:i w:val="0"/>
                <w:iCs w:val="0"/>
                <w:color w:val="auto"/>
                <w:szCs w:val="21"/>
                <w:highlight w:val="none"/>
                <w:lang w:eastAsia="zh-CN"/>
              </w:rPr>
              <w:t>。</w:t>
            </w:r>
            <w:r>
              <w:rPr>
                <w:rFonts w:hint="eastAsia" w:ascii="楷体" w:hAnsi="楷体" w:eastAsia="楷体" w:cs="楷体"/>
                <w:i w:val="0"/>
                <w:iCs w:val="0"/>
                <w:color w:val="auto"/>
                <w:szCs w:val="21"/>
                <w:highlight w:val="none"/>
                <w:lang w:val="en-US" w:eastAsia="zh-CN"/>
              </w:rPr>
              <w:t>每提供一个有效认证的，得1分，最多得6分。</w:t>
            </w:r>
          </w:p>
          <w:p w14:paraId="36ECE947">
            <w:pPr>
              <w:pStyle w:val="2"/>
              <w:ind w:left="0" w:leftChars="0" w:firstLine="420" w:firstLineChars="200"/>
              <w:rPr>
                <w:rFonts w:hint="eastAsia" w:ascii="楷体" w:hAnsi="楷体" w:eastAsia="楷体" w:cs="楷体"/>
                <w:color w:val="auto"/>
              </w:rPr>
            </w:pPr>
            <w:r>
              <w:rPr>
                <w:rFonts w:hint="eastAsia" w:ascii="楷体" w:hAnsi="楷体" w:eastAsia="楷体" w:cs="楷体"/>
                <w:i w:val="0"/>
                <w:iCs w:val="0"/>
                <w:color w:val="auto"/>
                <w:szCs w:val="21"/>
                <w:highlight w:val="none"/>
              </w:rPr>
              <w:t>注：提供上述证书复印件加盖投标人公章以及在国家认证认可监督管理委员会官方网 （http://cx.cnca.cn/CertECloud/result/skipResultList?certItemOne=A）查询的认证结果截图加盖投标人公章，否则不得分。</w:t>
            </w:r>
          </w:p>
        </w:tc>
        <w:tc>
          <w:tcPr>
            <w:tcW w:w="765" w:type="dxa"/>
            <w:tcMar>
              <w:top w:w="12" w:type="dxa"/>
              <w:left w:w="12" w:type="dxa"/>
              <w:right w:w="12" w:type="dxa"/>
            </w:tcMar>
            <w:vAlign w:val="center"/>
          </w:tcPr>
          <w:p w14:paraId="39CBC1BC">
            <w:pPr>
              <w:widowControl/>
              <w:jc w:val="center"/>
              <w:textAlignment w:val="center"/>
              <w:rPr>
                <w:rFonts w:hint="eastAsia" w:ascii="楷体" w:hAnsi="楷体" w:eastAsia="楷体" w:cs="楷体"/>
                <w:color w:val="auto"/>
                <w:sz w:val="24"/>
                <w:szCs w:val="24"/>
              </w:rPr>
            </w:pPr>
          </w:p>
        </w:tc>
        <w:tc>
          <w:tcPr>
            <w:tcW w:w="699" w:type="dxa"/>
            <w:tcMar>
              <w:top w:w="12" w:type="dxa"/>
              <w:left w:w="12" w:type="dxa"/>
              <w:right w:w="12" w:type="dxa"/>
            </w:tcMar>
            <w:vAlign w:val="center"/>
          </w:tcPr>
          <w:p w14:paraId="01EB9F2B">
            <w:pPr>
              <w:widowControl/>
              <w:jc w:val="center"/>
              <w:textAlignment w:val="center"/>
              <w:rPr>
                <w:rFonts w:hint="eastAsia" w:ascii="楷体" w:hAnsi="楷体" w:eastAsia="楷体" w:cs="楷体"/>
                <w:color w:val="auto"/>
                <w:sz w:val="24"/>
                <w:szCs w:val="24"/>
              </w:rPr>
            </w:pPr>
          </w:p>
        </w:tc>
      </w:tr>
      <w:tr w14:paraId="54B12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94" w:hRule="atLeast"/>
          <w:jc w:val="center"/>
        </w:trPr>
        <w:tc>
          <w:tcPr>
            <w:tcW w:w="1158" w:type="dxa"/>
            <w:vMerge w:val="continue"/>
            <w:tcMar>
              <w:top w:w="12" w:type="dxa"/>
              <w:left w:w="12" w:type="dxa"/>
              <w:right w:w="12" w:type="dxa"/>
            </w:tcMar>
            <w:vAlign w:val="center"/>
          </w:tcPr>
          <w:p w14:paraId="2AE9B32D">
            <w:pPr>
              <w:jc w:val="center"/>
              <w:rPr>
                <w:rFonts w:hint="eastAsia" w:ascii="楷体" w:hAnsi="楷体" w:eastAsia="楷体" w:cs="楷体"/>
                <w:color w:val="auto"/>
                <w:sz w:val="24"/>
                <w:szCs w:val="24"/>
              </w:rPr>
            </w:pPr>
          </w:p>
        </w:tc>
        <w:tc>
          <w:tcPr>
            <w:tcW w:w="882" w:type="dxa"/>
            <w:tcMar>
              <w:top w:w="12" w:type="dxa"/>
              <w:left w:w="12" w:type="dxa"/>
              <w:right w:w="12" w:type="dxa"/>
            </w:tcMar>
            <w:vAlign w:val="center"/>
          </w:tcPr>
          <w:p w14:paraId="5A6C1C05">
            <w:pPr>
              <w:widowControl/>
              <w:jc w:val="center"/>
              <w:textAlignment w:val="center"/>
              <w:rPr>
                <w:rFonts w:hint="eastAsia" w:ascii="楷体" w:hAnsi="楷体" w:eastAsia="楷体" w:cs="楷体"/>
                <w:color w:val="auto"/>
                <w:kern w:val="0"/>
                <w:sz w:val="24"/>
                <w:szCs w:val="24"/>
                <w:lang w:val="en-US" w:eastAsia="zh-CN" w:bidi="ar"/>
              </w:rPr>
            </w:pPr>
            <w:r>
              <w:rPr>
                <w:rFonts w:hint="eastAsia" w:ascii="楷体" w:hAnsi="楷体" w:eastAsia="楷体" w:cs="楷体"/>
                <w:color w:val="auto"/>
                <w:kern w:val="0"/>
                <w:sz w:val="24"/>
                <w:szCs w:val="24"/>
                <w:lang w:val="en-US" w:eastAsia="zh-CN" w:bidi="ar"/>
              </w:rPr>
              <w:t>10</w:t>
            </w:r>
          </w:p>
        </w:tc>
        <w:tc>
          <w:tcPr>
            <w:tcW w:w="5336" w:type="dxa"/>
            <w:tcMar>
              <w:top w:w="12" w:type="dxa"/>
              <w:left w:w="12" w:type="dxa"/>
              <w:right w:w="12" w:type="dxa"/>
            </w:tcMar>
            <w:vAlign w:val="center"/>
          </w:tcPr>
          <w:p w14:paraId="6BF79470">
            <w:pPr>
              <w:pStyle w:val="2"/>
              <w:ind w:left="0" w:leftChars="0" w:firstLine="0" w:firstLineChars="0"/>
              <w:rPr>
                <w:rFonts w:hint="eastAsia" w:ascii="楷体" w:hAnsi="楷体" w:eastAsia="楷体" w:cs="楷体"/>
                <w:b/>
                <w:bCs/>
                <w:color w:val="auto"/>
                <w:lang w:val="en-US" w:eastAsia="zh-CN"/>
              </w:rPr>
            </w:pPr>
            <w:r>
              <w:rPr>
                <w:rFonts w:hint="eastAsia" w:ascii="楷体" w:hAnsi="楷体" w:eastAsia="楷体" w:cs="楷体"/>
                <w:b/>
                <w:bCs/>
                <w:color w:val="auto"/>
                <w:lang w:val="en-US" w:eastAsia="zh-CN"/>
              </w:rPr>
              <w:t>公司履约能力：</w:t>
            </w:r>
          </w:p>
          <w:p w14:paraId="6E9897AB">
            <w:pPr>
              <w:pStyle w:val="2"/>
              <w:ind w:left="0" w:leftChars="0" w:firstLine="420" w:firstLineChars="200"/>
              <w:rPr>
                <w:rFonts w:hint="eastAsia" w:ascii="楷体" w:hAnsi="楷体" w:eastAsia="楷体" w:cs="楷体"/>
                <w:color w:val="auto"/>
                <w:lang w:val="en-US" w:eastAsia="zh-CN"/>
              </w:rPr>
            </w:pPr>
            <w:r>
              <w:rPr>
                <w:rFonts w:hint="eastAsia" w:ascii="楷体" w:hAnsi="楷体" w:eastAsia="楷体" w:cs="楷体"/>
                <w:color w:val="auto"/>
                <w:lang w:val="en-US" w:eastAsia="zh-CN"/>
              </w:rPr>
              <w:t>拟投入人员：具有注册咨询工程师每1人得2分，最多得10分。</w:t>
            </w:r>
          </w:p>
          <w:p w14:paraId="5629B038">
            <w:pPr>
              <w:pStyle w:val="2"/>
              <w:ind w:left="0" w:leftChars="0" w:firstLine="420" w:firstLineChars="200"/>
              <w:rPr>
                <w:rFonts w:hint="eastAsia" w:ascii="楷体" w:hAnsi="楷体" w:eastAsia="楷体" w:cs="楷体"/>
                <w:color w:val="auto"/>
                <w:lang w:val="en-US" w:eastAsia="zh-CN"/>
              </w:rPr>
            </w:pPr>
            <w:r>
              <w:rPr>
                <w:rFonts w:hint="eastAsia" w:ascii="楷体" w:hAnsi="楷体" w:eastAsia="楷体" w:cs="楷体"/>
                <w:color w:val="auto"/>
                <w:szCs w:val="21"/>
              </w:rPr>
              <w:t>注：需提供注册</w:t>
            </w:r>
            <w:r>
              <w:rPr>
                <w:rFonts w:hint="eastAsia" w:ascii="楷体" w:hAnsi="楷体" w:eastAsia="楷体" w:cs="楷体"/>
                <w:color w:val="auto"/>
                <w:szCs w:val="21"/>
                <w:lang w:val="en-US" w:eastAsia="zh-CN"/>
              </w:rPr>
              <w:t>咨询工程师</w:t>
            </w:r>
            <w:r>
              <w:rPr>
                <w:rFonts w:hint="eastAsia" w:ascii="楷体" w:hAnsi="楷体" w:eastAsia="楷体" w:cs="楷体"/>
                <w:color w:val="auto"/>
                <w:szCs w:val="21"/>
                <w:lang w:eastAsia="zh-CN"/>
              </w:rPr>
              <w:t>、</w:t>
            </w:r>
            <w:r>
              <w:rPr>
                <w:rFonts w:hint="eastAsia" w:ascii="楷体" w:hAnsi="楷体" w:eastAsia="楷体" w:cs="楷体"/>
                <w:color w:val="auto"/>
                <w:szCs w:val="21"/>
              </w:rPr>
              <w:t>个人职称证书</w:t>
            </w:r>
            <w:r>
              <w:rPr>
                <w:rFonts w:hint="eastAsia" w:ascii="楷体" w:hAnsi="楷体" w:eastAsia="楷体" w:cs="楷体"/>
                <w:color w:val="auto"/>
                <w:szCs w:val="21"/>
                <w:lang w:eastAsia="zh-CN"/>
              </w:rPr>
              <w:t>，</w:t>
            </w:r>
            <w:r>
              <w:rPr>
                <w:rFonts w:hint="eastAsia" w:ascii="楷体" w:hAnsi="楷体" w:eastAsia="楷体" w:cs="楷体"/>
                <w:color w:val="auto"/>
                <w:szCs w:val="21"/>
                <w:lang w:val="en-US" w:eastAsia="zh-CN"/>
              </w:rPr>
              <w:t>并提供连续六</w:t>
            </w:r>
            <w:r>
              <w:rPr>
                <w:rFonts w:hint="eastAsia" w:ascii="楷体" w:hAnsi="楷体" w:eastAsia="楷体" w:cs="楷体"/>
                <w:color w:val="auto"/>
                <w:szCs w:val="21"/>
              </w:rPr>
              <w:t>个月在投标单位的社保缴纳证明等扫描件</w:t>
            </w:r>
            <w:r>
              <w:rPr>
                <w:rFonts w:hint="eastAsia" w:ascii="楷体" w:hAnsi="楷体" w:eastAsia="楷体" w:cs="楷体"/>
                <w:color w:val="auto"/>
                <w:szCs w:val="21"/>
                <w:lang w:eastAsia="zh-CN"/>
              </w:rPr>
              <w:t>，</w:t>
            </w:r>
            <w:r>
              <w:rPr>
                <w:rFonts w:hint="eastAsia" w:ascii="楷体" w:hAnsi="楷体" w:eastAsia="楷体" w:cs="楷体"/>
                <w:color w:val="auto"/>
                <w:szCs w:val="21"/>
                <w:lang w:val="en-US" w:eastAsia="zh-CN"/>
              </w:rPr>
              <w:t>否则不得分</w:t>
            </w:r>
            <w:r>
              <w:rPr>
                <w:rFonts w:hint="eastAsia" w:ascii="楷体" w:hAnsi="楷体" w:eastAsia="楷体" w:cs="楷体"/>
                <w:color w:val="auto"/>
                <w:szCs w:val="21"/>
              </w:rPr>
              <w:t>。</w:t>
            </w:r>
          </w:p>
        </w:tc>
        <w:tc>
          <w:tcPr>
            <w:tcW w:w="765" w:type="dxa"/>
            <w:tcMar>
              <w:top w:w="12" w:type="dxa"/>
              <w:left w:w="12" w:type="dxa"/>
              <w:right w:w="12" w:type="dxa"/>
            </w:tcMar>
            <w:vAlign w:val="center"/>
          </w:tcPr>
          <w:p w14:paraId="23D341AE">
            <w:pPr>
              <w:widowControl/>
              <w:jc w:val="center"/>
              <w:textAlignment w:val="center"/>
              <w:rPr>
                <w:rFonts w:hint="eastAsia" w:ascii="楷体" w:hAnsi="楷体" w:eastAsia="楷体" w:cs="楷体"/>
                <w:color w:val="auto"/>
                <w:kern w:val="0"/>
                <w:sz w:val="24"/>
                <w:szCs w:val="24"/>
                <w:lang w:bidi="ar"/>
              </w:rPr>
            </w:pPr>
          </w:p>
        </w:tc>
        <w:tc>
          <w:tcPr>
            <w:tcW w:w="699" w:type="dxa"/>
            <w:tcMar>
              <w:top w:w="12" w:type="dxa"/>
              <w:left w:w="12" w:type="dxa"/>
              <w:right w:w="12" w:type="dxa"/>
            </w:tcMar>
            <w:vAlign w:val="center"/>
          </w:tcPr>
          <w:p w14:paraId="35800097">
            <w:pPr>
              <w:widowControl/>
              <w:jc w:val="center"/>
              <w:textAlignment w:val="center"/>
              <w:rPr>
                <w:rFonts w:hint="eastAsia" w:ascii="楷体" w:hAnsi="楷体" w:eastAsia="楷体" w:cs="楷体"/>
                <w:color w:val="auto"/>
                <w:kern w:val="0"/>
                <w:sz w:val="24"/>
                <w:szCs w:val="24"/>
                <w:lang w:bidi="ar"/>
              </w:rPr>
            </w:pPr>
          </w:p>
        </w:tc>
      </w:tr>
      <w:tr w14:paraId="2F42E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5" w:hRule="atLeast"/>
          <w:jc w:val="center"/>
        </w:trPr>
        <w:tc>
          <w:tcPr>
            <w:tcW w:w="1158" w:type="dxa"/>
            <w:vMerge w:val="continue"/>
            <w:tcMar>
              <w:top w:w="12" w:type="dxa"/>
              <w:left w:w="12" w:type="dxa"/>
              <w:right w:w="12" w:type="dxa"/>
            </w:tcMar>
            <w:vAlign w:val="center"/>
          </w:tcPr>
          <w:p w14:paraId="0C9BA4CE">
            <w:pPr>
              <w:jc w:val="center"/>
              <w:rPr>
                <w:rFonts w:hint="eastAsia" w:ascii="楷体" w:hAnsi="楷体" w:eastAsia="楷体" w:cs="楷体"/>
                <w:color w:val="auto"/>
                <w:sz w:val="24"/>
                <w:szCs w:val="24"/>
              </w:rPr>
            </w:pPr>
          </w:p>
        </w:tc>
        <w:tc>
          <w:tcPr>
            <w:tcW w:w="882" w:type="dxa"/>
            <w:tcMar>
              <w:top w:w="12" w:type="dxa"/>
              <w:left w:w="12" w:type="dxa"/>
              <w:right w:w="12" w:type="dxa"/>
            </w:tcMar>
            <w:vAlign w:val="center"/>
          </w:tcPr>
          <w:p w14:paraId="7C7A9115">
            <w:pPr>
              <w:widowControl/>
              <w:jc w:val="center"/>
              <w:textAlignment w:val="center"/>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kern w:val="0"/>
                <w:sz w:val="24"/>
                <w:szCs w:val="24"/>
                <w:lang w:val="en-US" w:eastAsia="zh-CN" w:bidi="ar"/>
              </w:rPr>
              <w:t>10</w:t>
            </w:r>
          </w:p>
        </w:tc>
        <w:tc>
          <w:tcPr>
            <w:tcW w:w="5336" w:type="dxa"/>
            <w:tcMar>
              <w:top w:w="12" w:type="dxa"/>
              <w:left w:w="12" w:type="dxa"/>
              <w:right w:w="12" w:type="dxa"/>
            </w:tcMar>
            <w:vAlign w:val="center"/>
          </w:tcPr>
          <w:p w14:paraId="2A6243C5">
            <w:pPr>
              <w:widowControl/>
              <w:jc w:val="left"/>
              <w:textAlignment w:val="center"/>
              <w:rPr>
                <w:rFonts w:hint="eastAsia" w:ascii="楷体" w:hAnsi="楷体" w:eastAsia="楷体" w:cs="楷体"/>
                <w:b/>
                <w:bCs/>
                <w:color w:val="auto"/>
                <w:kern w:val="0"/>
                <w:sz w:val="22"/>
                <w:szCs w:val="22"/>
                <w:highlight w:val="none"/>
                <w:lang w:bidi="ar"/>
              </w:rPr>
            </w:pPr>
            <w:r>
              <w:rPr>
                <w:rFonts w:hint="eastAsia" w:ascii="楷体" w:hAnsi="楷体" w:eastAsia="楷体" w:cs="楷体"/>
                <w:b/>
                <w:bCs/>
                <w:color w:val="auto"/>
                <w:kern w:val="0"/>
                <w:sz w:val="22"/>
                <w:szCs w:val="22"/>
                <w:highlight w:val="none"/>
                <w:lang w:eastAsia="zh-CN" w:bidi="ar"/>
              </w:rPr>
              <w:t>公司业绩</w:t>
            </w:r>
            <w:r>
              <w:rPr>
                <w:rFonts w:hint="eastAsia" w:ascii="楷体" w:hAnsi="楷体" w:eastAsia="楷体" w:cs="楷体"/>
                <w:b/>
                <w:bCs/>
                <w:color w:val="auto"/>
                <w:kern w:val="0"/>
                <w:sz w:val="22"/>
                <w:szCs w:val="22"/>
                <w:highlight w:val="none"/>
                <w:lang w:bidi="ar"/>
              </w:rPr>
              <w:t>：</w:t>
            </w:r>
          </w:p>
          <w:p w14:paraId="53EC36F6">
            <w:pPr>
              <w:widowControl/>
              <w:ind w:firstLine="420" w:firstLineChars="200"/>
              <w:jc w:val="left"/>
              <w:textAlignment w:val="center"/>
              <w:rPr>
                <w:rFonts w:hint="eastAsia" w:ascii="楷体" w:hAnsi="楷体" w:eastAsia="楷体" w:cs="楷体"/>
                <w:color w:val="auto"/>
                <w:kern w:val="2"/>
                <w:sz w:val="21"/>
                <w:szCs w:val="21"/>
                <w:highlight w:val="none"/>
                <w:lang w:val="en-US" w:eastAsia="zh-CN" w:bidi="ar-SA"/>
              </w:rPr>
            </w:pPr>
            <w:r>
              <w:rPr>
                <w:rFonts w:hint="eastAsia" w:ascii="楷体" w:hAnsi="楷体" w:eastAsia="楷体" w:cs="楷体"/>
                <w:color w:val="auto"/>
                <w:kern w:val="2"/>
                <w:sz w:val="21"/>
                <w:szCs w:val="21"/>
                <w:highlight w:val="none"/>
                <w:lang w:val="en-US" w:eastAsia="zh-CN" w:bidi="ar-SA"/>
              </w:rPr>
              <w:t>同类型项目业绩每个2分，最多得10分。</w:t>
            </w:r>
          </w:p>
          <w:p w14:paraId="05F4D5C1">
            <w:pPr>
              <w:widowControl/>
              <w:ind w:firstLine="420" w:firstLineChars="200"/>
              <w:jc w:val="left"/>
              <w:textAlignment w:val="center"/>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szCs w:val="21"/>
                <w:highlight w:val="none"/>
              </w:rPr>
              <w:t>注：需提供</w:t>
            </w:r>
            <w:r>
              <w:rPr>
                <w:rFonts w:hint="eastAsia" w:ascii="楷体" w:hAnsi="楷体" w:eastAsia="楷体" w:cs="楷体"/>
                <w:color w:val="auto"/>
                <w:kern w:val="2"/>
                <w:sz w:val="21"/>
                <w:szCs w:val="21"/>
                <w:highlight w:val="none"/>
                <w:lang w:val="en-US" w:eastAsia="zh-CN" w:bidi="ar-SA"/>
              </w:rPr>
              <w:t>合同、报告主要页</w:t>
            </w:r>
            <w:bookmarkStart w:id="0" w:name="_GoBack"/>
            <w:bookmarkEnd w:id="0"/>
            <w:r>
              <w:rPr>
                <w:rFonts w:hint="eastAsia" w:ascii="楷体" w:hAnsi="楷体" w:eastAsia="楷体" w:cs="楷体"/>
                <w:color w:val="auto"/>
                <w:kern w:val="2"/>
                <w:sz w:val="21"/>
                <w:szCs w:val="21"/>
                <w:highlight w:val="none"/>
                <w:lang w:val="en-US" w:eastAsia="zh-CN" w:bidi="ar-SA"/>
              </w:rPr>
              <w:t>等。</w:t>
            </w:r>
          </w:p>
        </w:tc>
        <w:tc>
          <w:tcPr>
            <w:tcW w:w="765" w:type="dxa"/>
            <w:tcMar>
              <w:top w:w="12" w:type="dxa"/>
              <w:left w:w="12" w:type="dxa"/>
              <w:right w:w="12" w:type="dxa"/>
            </w:tcMar>
            <w:vAlign w:val="center"/>
          </w:tcPr>
          <w:p w14:paraId="5D7DAE1F">
            <w:pPr>
              <w:widowControl/>
              <w:jc w:val="center"/>
              <w:textAlignment w:val="center"/>
              <w:rPr>
                <w:rFonts w:hint="eastAsia" w:ascii="楷体" w:hAnsi="楷体" w:eastAsia="楷体" w:cs="楷体"/>
                <w:color w:val="auto"/>
                <w:sz w:val="24"/>
                <w:szCs w:val="24"/>
                <w:highlight w:val="none"/>
              </w:rPr>
            </w:pPr>
          </w:p>
        </w:tc>
        <w:tc>
          <w:tcPr>
            <w:tcW w:w="699" w:type="dxa"/>
            <w:tcMar>
              <w:top w:w="12" w:type="dxa"/>
              <w:left w:w="12" w:type="dxa"/>
              <w:right w:w="12" w:type="dxa"/>
            </w:tcMar>
            <w:vAlign w:val="center"/>
          </w:tcPr>
          <w:p w14:paraId="58DA6ECD">
            <w:pPr>
              <w:widowControl/>
              <w:jc w:val="center"/>
              <w:textAlignment w:val="center"/>
              <w:rPr>
                <w:rFonts w:hint="eastAsia" w:ascii="楷体" w:hAnsi="楷体" w:eastAsia="楷体" w:cs="楷体"/>
                <w:color w:val="auto"/>
                <w:sz w:val="24"/>
                <w:szCs w:val="24"/>
              </w:rPr>
            </w:pPr>
          </w:p>
        </w:tc>
      </w:tr>
      <w:tr w14:paraId="63DD9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06" w:hRule="atLeast"/>
          <w:jc w:val="center"/>
        </w:trPr>
        <w:tc>
          <w:tcPr>
            <w:tcW w:w="1158" w:type="dxa"/>
            <w:vMerge w:val="restart"/>
            <w:tcMar>
              <w:top w:w="12" w:type="dxa"/>
              <w:left w:w="12" w:type="dxa"/>
              <w:right w:w="12" w:type="dxa"/>
            </w:tcMar>
            <w:vAlign w:val="center"/>
          </w:tcPr>
          <w:p w14:paraId="25FF9678">
            <w:pPr>
              <w:jc w:val="center"/>
              <w:rPr>
                <w:rFonts w:hint="eastAsia" w:ascii="楷体" w:hAnsi="楷体" w:eastAsia="楷体" w:cs="楷体"/>
                <w:color w:val="auto"/>
                <w:sz w:val="24"/>
                <w:szCs w:val="24"/>
                <w:lang w:eastAsia="zh-CN"/>
              </w:rPr>
            </w:pPr>
            <w:r>
              <w:rPr>
                <w:rFonts w:hint="eastAsia" w:ascii="楷体" w:hAnsi="楷体" w:eastAsia="楷体" w:cs="楷体"/>
                <w:color w:val="auto"/>
                <w:sz w:val="24"/>
                <w:szCs w:val="24"/>
                <w:lang w:eastAsia="zh-CN"/>
              </w:rPr>
              <w:t>技术部分</w:t>
            </w:r>
          </w:p>
          <w:p w14:paraId="35E532EA">
            <w:pPr>
              <w:jc w:val="center"/>
              <w:rPr>
                <w:rFonts w:hint="eastAsia" w:ascii="楷体" w:hAnsi="楷体" w:eastAsia="楷体" w:cs="楷体"/>
                <w:color w:val="auto"/>
                <w:sz w:val="24"/>
                <w:szCs w:val="24"/>
                <w:lang w:eastAsia="zh-CN"/>
              </w:rPr>
            </w:pP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lang w:val="en-US" w:eastAsia="zh-CN"/>
              </w:rPr>
              <w:t>40分</w:t>
            </w:r>
            <w:r>
              <w:rPr>
                <w:rFonts w:hint="eastAsia" w:ascii="楷体" w:hAnsi="楷体" w:eastAsia="楷体" w:cs="楷体"/>
                <w:color w:val="auto"/>
                <w:sz w:val="24"/>
                <w:szCs w:val="24"/>
                <w:lang w:eastAsia="zh-CN"/>
              </w:rPr>
              <w:t>）</w:t>
            </w:r>
          </w:p>
        </w:tc>
        <w:tc>
          <w:tcPr>
            <w:tcW w:w="882" w:type="dxa"/>
            <w:tcMar>
              <w:top w:w="12" w:type="dxa"/>
              <w:left w:w="12" w:type="dxa"/>
              <w:right w:w="12" w:type="dxa"/>
            </w:tcMar>
            <w:vAlign w:val="center"/>
          </w:tcPr>
          <w:p w14:paraId="213589A2">
            <w:pPr>
              <w:widowControl/>
              <w:jc w:val="center"/>
              <w:textAlignment w:val="center"/>
              <w:rPr>
                <w:rFonts w:hint="default"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20</w:t>
            </w:r>
          </w:p>
        </w:tc>
        <w:tc>
          <w:tcPr>
            <w:tcW w:w="5336" w:type="dxa"/>
            <w:tcMar>
              <w:top w:w="12" w:type="dxa"/>
              <w:left w:w="12" w:type="dxa"/>
              <w:right w:w="12" w:type="dxa"/>
            </w:tcMar>
            <w:vAlign w:val="center"/>
          </w:tcPr>
          <w:p w14:paraId="27339C0C">
            <w:pPr>
              <w:widowControl/>
              <w:jc w:val="left"/>
              <w:textAlignment w:val="center"/>
              <w:rPr>
                <w:rFonts w:hint="eastAsia" w:ascii="楷体" w:hAnsi="楷体" w:eastAsia="楷体" w:cs="楷体"/>
                <w:b/>
                <w:bCs/>
                <w:color w:val="auto"/>
                <w:sz w:val="21"/>
                <w:szCs w:val="21"/>
                <w:highlight w:val="none"/>
                <w:lang w:val="en-US" w:eastAsia="zh-CN"/>
              </w:rPr>
            </w:pPr>
            <w:r>
              <w:rPr>
                <w:rFonts w:hint="eastAsia" w:ascii="楷体" w:hAnsi="楷体" w:eastAsia="楷体" w:cs="楷体"/>
                <w:b/>
                <w:bCs/>
                <w:color w:val="auto"/>
                <w:sz w:val="21"/>
                <w:szCs w:val="21"/>
                <w:highlight w:val="none"/>
                <w:lang w:val="en-US" w:eastAsia="zh-CN"/>
              </w:rPr>
              <w:t>公司综合能力：</w:t>
            </w:r>
          </w:p>
          <w:p w14:paraId="6A381323">
            <w:pPr>
              <w:widowControl/>
              <w:ind w:firstLine="420" w:firstLineChars="200"/>
              <w:jc w:val="left"/>
              <w:textAlignment w:val="center"/>
              <w:rPr>
                <w:rFonts w:hint="eastAsia" w:ascii="楷体" w:hAnsi="楷体" w:eastAsia="楷体" w:cs="楷体"/>
                <w:b w:val="0"/>
                <w:bCs w:val="0"/>
                <w:color w:val="auto"/>
                <w:sz w:val="21"/>
                <w:szCs w:val="21"/>
                <w:highlight w:val="none"/>
                <w:lang w:eastAsia="zh-CN"/>
              </w:rPr>
            </w:pPr>
            <w:r>
              <w:rPr>
                <w:rFonts w:hint="eastAsia" w:ascii="楷体" w:hAnsi="楷体" w:eastAsia="楷体" w:cs="楷体"/>
                <w:b w:val="0"/>
                <w:bCs w:val="0"/>
                <w:color w:val="auto"/>
                <w:sz w:val="21"/>
                <w:szCs w:val="21"/>
                <w:highlight w:val="none"/>
              </w:rPr>
              <w:t>根据投标人对本项目</w:t>
            </w:r>
            <w:r>
              <w:rPr>
                <w:rFonts w:hint="eastAsia" w:ascii="楷体" w:hAnsi="楷体" w:eastAsia="楷体" w:cs="楷体"/>
                <w:b w:val="0"/>
                <w:bCs w:val="0"/>
                <w:color w:val="auto"/>
                <w:sz w:val="21"/>
                <w:szCs w:val="21"/>
                <w:highlight w:val="none"/>
                <w:lang w:val="en-US" w:eastAsia="zh-CN"/>
              </w:rPr>
              <w:t>申报流程分析、申报时间把控，制定开展工期，</w:t>
            </w:r>
            <w:r>
              <w:rPr>
                <w:rFonts w:hint="eastAsia" w:ascii="楷体" w:hAnsi="楷体" w:eastAsia="楷体" w:cs="楷体"/>
                <w:b w:val="0"/>
                <w:bCs w:val="0"/>
                <w:color w:val="auto"/>
                <w:sz w:val="21"/>
                <w:szCs w:val="21"/>
                <w:highlight w:val="none"/>
              </w:rPr>
              <w:t>对项目的研究重点、难点的理解程度</w:t>
            </w:r>
            <w:r>
              <w:rPr>
                <w:rFonts w:hint="eastAsia" w:ascii="楷体" w:hAnsi="楷体" w:eastAsia="楷体" w:cs="楷体"/>
                <w:b w:val="0"/>
                <w:bCs w:val="0"/>
                <w:color w:val="auto"/>
                <w:sz w:val="21"/>
                <w:szCs w:val="21"/>
                <w:highlight w:val="none"/>
                <w:lang w:eastAsia="zh-CN"/>
              </w:rPr>
              <w:t>，</w:t>
            </w:r>
            <w:r>
              <w:rPr>
                <w:rFonts w:hint="eastAsia" w:ascii="楷体" w:hAnsi="楷体" w:eastAsia="楷体" w:cs="楷体"/>
                <w:b w:val="0"/>
                <w:bCs w:val="0"/>
                <w:color w:val="auto"/>
                <w:sz w:val="21"/>
                <w:szCs w:val="21"/>
                <w:highlight w:val="none"/>
              </w:rPr>
              <w:t>进行评审打分</w:t>
            </w:r>
            <w:r>
              <w:rPr>
                <w:rFonts w:hint="eastAsia" w:ascii="楷体" w:hAnsi="楷体" w:eastAsia="楷体" w:cs="楷体"/>
                <w:b w:val="0"/>
                <w:bCs w:val="0"/>
                <w:color w:val="auto"/>
                <w:sz w:val="21"/>
                <w:szCs w:val="21"/>
                <w:highlight w:val="none"/>
                <w:lang w:eastAsia="zh-CN"/>
              </w:rPr>
              <w:t>。</w:t>
            </w:r>
          </w:p>
          <w:p w14:paraId="6D9AAFD3">
            <w:pPr>
              <w:widowControl/>
              <w:ind w:firstLine="420" w:firstLineChars="200"/>
              <w:jc w:val="left"/>
              <w:textAlignment w:val="center"/>
              <w:rPr>
                <w:rFonts w:hint="default" w:ascii="楷体" w:hAnsi="楷体" w:eastAsia="楷体" w:cs="楷体"/>
                <w:b w:val="0"/>
                <w:bCs w:val="0"/>
                <w:color w:val="auto"/>
                <w:sz w:val="21"/>
                <w:szCs w:val="21"/>
                <w:highlight w:val="none"/>
                <w:lang w:val="en-US" w:eastAsia="zh-CN"/>
              </w:rPr>
            </w:pPr>
            <w:r>
              <w:rPr>
                <w:rFonts w:hint="eastAsia" w:ascii="楷体" w:hAnsi="楷体" w:eastAsia="楷体" w:cs="楷体"/>
                <w:b w:val="0"/>
                <w:bCs w:val="0"/>
                <w:color w:val="auto"/>
                <w:sz w:val="21"/>
                <w:szCs w:val="21"/>
                <w:highlight w:val="none"/>
                <w:lang w:val="en-US" w:eastAsia="zh-CN"/>
              </w:rPr>
              <w:t>①申报流程分析准确、申报时间把控精准，制定开展工期详细，</w:t>
            </w:r>
            <w:r>
              <w:rPr>
                <w:rFonts w:hint="eastAsia" w:ascii="楷体" w:hAnsi="楷体" w:eastAsia="楷体" w:cs="楷体"/>
                <w:b w:val="0"/>
                <w:bCs w:val="0"/>
                <w:color w:val="auto"/>
                <w:sz w:val="21"/>
                <w:szCs w:val="21"/>
                <w:highlight w:val="none"/>
              </w:rPr>
              <w:t>对项目的研究重点、难点的理解程度</w:t>
            </w:r>
            <w:r>
              <w:rPr>
                <w:rFonts w:hint="eastAsia" w:ascii="楷体" w:hAnsi="楷体" w:eastAsia="楷体" w:cs="楷体"/>
                <w:b w:val="0"/>
                <w:bCs w:val="0"/>
                <w:color w:val="auto"/>
                <w:sz w:val="21"/>
                <w:szCs w:val="21"/>
                <w:highlight w:val="none"/>
                <w:lang w:val="en-US" w:eastAsia="zh-CN"/>
              </w:rPr>
              <w:t>高的，得20分；</w:t>
            </w:r>
          </w:p>
          <w:p w14:paraId="2D668FEB">
            <w:pPr>
              <w:widowControl/>
              <w:ind w:firstLine="420" w:firstLineChars="200"/>
              <w:jc w:val="left"/>
              <w:textAlignment w:val="center"/>
              <w:rPr>
                <w:rFonts w:hint="eastAsia" w:ascii="楷体" w:hAnsi="楷体" w:eastAsia="楷体" w:cs="楷体"/>
                <w:b w:val="0"/>
                <w:bCs w:val="0"/>
                <w:color w:val="auto"/>
                <w:sz w:val="21"/>
                <w:szCs w:val="21"/>
                <w:highlight w:val="none"/>
                <w:lang w:eastAsia="zh-CN"/>
              </w:rPr>
            </w:pPr>
            <w:r>
              <w:rPr>
                <w:rFonts w:hint="eastAsia" w:ascii="楷体" w:hAnsi="楷体" w:eastAsia="楷体" w:cs="楷体"/>
                <w:b w:val="0"/>
                <w:bCs w:val="0"/>
                <w:color w:val="auto"/>
                <w:sz w:val="21"/>
                <w:szCs w:val="21"/>
                <w:highlight w:val="none"/>
                <w:lang w:val="en-US" w:eastAsia="zh-CN"/>
              </w:rPr>
              <w:t>②申报流程分析较准确、申报时间把控较精准，制定开展工期较详细，</w:t>
            </w:r>
            <w:r>
              <w:rPr>
                <w:rFonts w:hint="eastAsia" w:ascii="楷体" w:hAnsi="楷体" w:eastAsia="楷体" w:cs="楷体"/>
                <w:b w:val="0"/>
                <w:bCs w:val="0"/>
                <w:color w:val="auto"/>
                <w:sz w:val="21"/>
                <w:szCs w:val="21"/>
                <w:highlight w:val="none"/>
              </w:rPr>
              <w:t>对项目的研究重点、难点的理解程度</w:t>
            </w:r>
            <w:r>
              <w:rPr>
                <w:rFonts w:hint="eastAsia" w:ascii="楷体" w:hAnsi="楷体" w:eastAsia="楷体" w:cs="楷体"/>
                <w:b w:val="0"/>
                <w:bCs w:val="0"/>
                <w:color w:val="auto"/>
                <w:sz w:val="21"/>
                <w:szCs w:val="21"/>
                <w:highlight w:val="none"/>
                <w:lang w:val="en-US" w:eastAsia="zh-CN"/>
              </w:rPr>
              <w:t>较高的，得15分；</w:t>
            </w:r>
          </w:p>
          <w:p w14:paraId="4F3753EB">
            <w:pPr>
              <w:widowControl/>
              <w:ind w:firstLine="420" w:firstLineChars="200"/>
              <w:jc w:val="left"/>
              <w:textAlignment w:val="center"/>
              <w:rPr>
                <w:rFonts w:hint="eastAsia" w:ascii="楷体" w:hAnsi="楷体" w:eastAsia="楷体" w:cs="楷体"/>
                <w:b w:val="0"/>
                <w:bCs w:val="0"/>
                <w:color w:val="auto"/>
                <w:sz w:val="21"/>
                <w:szCs w:val="21"/>
                <w:highlight w:val="none"/>
                <w:lang w:eastAsia="zh-CN"/>
              </w:rPr>
            </w:pPr>
            <w:r>
              <w:rPr>
                <w:rFonts w:hint="eastAsia" w:ascii="楷体" w:hAnsi="楷体" w:eastAsia="楷体" w:cs="楷体"/>
                <w:b w:val="0"/>
                <w:bCs w:val="0"/>
                <w:color w:val="auto"/>
                <w:sz w:val="21"/>
                <w:szCs w:val="21"/>
                <w:highlight w:val="none"/>
                <w:lang w:val="en-US" w:eastAsia="zh-CN"/>
              </w:rPr>
              <w:t>③申报流程分析准确性一般、申报时间把控精准度一般，制定开展工期详细度一般，</w:t>
            </w:r>
            <w:r>
              <w:rPr>
                <w:rFonts w:hint="eastAsia" w:ascii="楷体" w:hAnsi="楷体" w:eastAsia="楷体" w:cs="楷体"/>
                <w:b w:val="0"/>
                <w:bCs w:val="0"/>
                <w:color w:val="auto"/>
                <w:sz w:val="21"/>
                <w:szCs w:val="21"/>
                <w:highlight w:val="none"/>
              </w:rPr>
              <w:t>对项目的研究重点、难点的理解程度</w:t>
            </w:r>
            <w:r>
              <w:rPr>
                <w:rFonts w:hint="eastAsia" w:ascii="楷体" w:hAnsi="楷体" w:eastAsia="楷体" w:cs="楷体"/>
                <w:b w:val="0"/>
                <w:bCs w:val="0"/>
                <w:color w:val="auto"/>
                <w:sz w:val="21"/>
                <w:szCs w:val="21"/>
                <w:highlight w:val="none"/>
                <w:lang w:val="en-US" w:eastAsia="zh-CN"/>
              </w:rPr>
              <w:t>一般，得10分；</w:t>
            </w:r>
          </w:p>
          <w:p w14:paraId="693390F3">
            <w:pPr>
              <w:widowControl/>
              <w:ind w:firstLine="420" w:firstLineChars="200"/>
              <w:jc w:val="left"/>
              <w:textAlignment w:val="center"/>
              <w:rPr>
                <w:rFonts w:hint="eastAsia" w:ascii="楷体" w:hAnsi="楷体" w:eastAsia="楷体" w:cs="楷体"/>
                <w:b w:val="0"/>
                <w:bCs w:val="0"/>
                <w:color w:val="auto"/>
                <w:sz w:val="21"/>
                <w:szCs w:val="21"/>
                <w:highlight w:val="none"/>
                <w:lang w:val="en-US" w:eastAsia="zh-CN"/>
              </w:rPr>
            </w:pPr>
            <w:r>
              <w:rPr>
                <w:rFonts w:hint="eastAsia" w:ascii="楷体" w:hAnsi="楷体" w:eastAsia="楷体" w:cs="楷体"/>
                <w:b w:val="0"/>
                <w:bCs w:val="0"/>
                <w:color w:val="auto"/>
                <w:sz w:val="21"/>
                <w:szCs w:val="21"/>
                <w:highlight w:val="none"/>
                <w:lang w:val="en-US" w:eastAsia="zh-CN"/>
              </w:rPr>
              <w:t>④申报流程分析准确性差、申报时间把控精准度差，制定开展工期详细度差，</w:t>
            </w:r>
            <w:r>
              <w:rPr>
                <w:rFonts w:hint="eastAsia" w:ascii="楷体" w:hAnsi="楷体" w:eastAsia="楷体" w:cs="楷体"/>
                <w:b w:val="0"/>
                <w:bCs w:val="0"/>
                <w:color w:val="auto"/>
                <w:sz w:val="21"/>
                <w:szCs w:val="21"/>
                <w:highlight w:val="none"/>
              </w:rPr>
              <w:t>对项目的研究重点、难点的理解程度</w:t>
            </w:r>
            <w:r>
              <w:rPr>
                <w:rFonts w:hint="eastAsia" w:ascii="楷体" w:hAnsi="楷体" w:eastAsia="楷体" w:cs="楷体"/>
                <w:b w:val="0"/>
                <w:bCs w:val="0"/>
                <w:color w:val="auto"/>
                <w:sz w:val="21"/>
                <w:szCs w:val="21"/>
                <w:highlight w:val="none"/>
                <w:lang w:val="en-US" w:eastAsia="zh-CN"/>
              </w:rPr>
              <w:t>低，得5分；</w:t>
            </w:r>
          </w:p>
          <w:p w14:paraId="6E622184">
            <w:pPr>
              <w:widowControl/>
              <w:ind w:firstLine="420" w:firstLineChars="200"/>
              <w:jc w:val="left"/>
              <w:textAlignment w:val="center"/>
              <w:rPr>
                <w:rFonts w:hint="eastAsia" w:ascii="楷体" w:hAnsi="楷体" w:eastAsia="楷体" w:cs="楷体"/>
                <w:color w:val="auto"/>
                <w:sz w:val="21"/>
                <w:szCs w:val="21"/>
                <w:highlight w:val="none"/>
                <w:lang w:eastAsia="zh-CN"/>
              </w:rPr>
            </w:pPr>
            <w:r>
              <w:rPr>
                <w:rFonts w:hint="eastAsia" w:ascii="楷体" w:hAnsi="楷体" w:eastAsia="楷体" w:cs="楷体"/>
                <w:b w:val="0"/>
                <w:bCs w:val="0"/>
                <w:color w:val="auto"/>
                <w:sz w:val="21"/>
                <w:szCs w:val="21"/>
                <w:highlight w:val="none"/>
                <w:lang w:val="en-US" w:eastAsia="zh-CN"/>
              </w:rPr>
              <w:t>⑤没有提供相关方案或相关方案被评定为不可行的不得分。</w:t>
            </w:r>
          </w:p>
        </w:tc>
        <w:tc>
          <w:tcPr>
            <w:tcW w:w="765" w:type="dxa"/>
            <w:tcMar>
              <w:top w:w="12" w:type="dxa"/>
              <w:left w:w="12" w:type="dxa"/>
              <w:right w:w="12" w:type="dxa"/>
            </w:tcMar>
            <w:vAlign w:val="center"/>
          </w:tcPr>
          <w:p w14:paraId="4B32FBD4">
            <w:pPr>
              <w:widowControl/>
              <w:jc w:val="center"/>
              <w:textAlignment w:val="center"/>
              <w:rPr>
                <w:rFonts w:hint="eastAsia" w:ascii="楷体" w:hAnsi="楷体" w:eastAsia="楷体" w:cs="楷体"/>
                <w:color w:val="auto"/>
                <w:sz w:val="24"/>
                <w:szCs w:val="24"/>
                <w:highlight w:val="none"/>
              </w:rPr>
            </w:pPr>
          </w:p>
        </w:tc>
        <w:tc>
          <w:tcPr>
            <w:tcW w:w="699" w:type="dxa"/>
            <w:tcMar>
              <w:top w:w="12" w:type="dxa"/>
              <w:left w:w="12" w:type="dxa"/>
              <w:right w:w="12" w:type="dxa"/>
            </w:tcMar>
            <w:vAlign w:val="center"/>
          </w:tcPr>
          <w:p w14:paraId="5977573E">
            <w:pPr>
              <w:widowControl/>
              <w:jc w:val="center"/>
              <w:textAlignment w:val="center"/>
              <w:rPr>
                <w:rFonts w:hint="eastAsia" w:ascii="楷体" w:hAnsi="楷体" w:eastAsia="楷体" w:cs="楷体"/>
                <w:color w:val="auto"/>
                <w:sz w:val="24"/>
                <w:szCs w:val="24"/>
              </w:rPr>
            </w:pPr>
          </w:p>
        </w:tc>
      </w:tr>
      <w:tr w14:paraId="0188F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0" w:hRule="atLeast"/>
          <w:jc w:val="center"/>
        </w:trPr>
        <w:tc>
          <w:tcPr>
            <w:tcW w:w="1158" w:type="dxa"/>
            <w:vMerge w:val="continue"/>
            <w:tcMar>
              <w:top w:w="12" w:type="dxa"/>
              <w:left w:w="12" w:type="dxa"/>
              <w:right w:w="12" w:type="dxa"/>
            </w:tcMar>
            <w:vAlign w:val="center"/>
          </w:tcPr>
          <w:p w14:paraId="2BE5C293">
            <w:pPr>
              <w:jc w:val="center"/>
              <w:rPr>
                <w:rFonts w:hint="eastAsia" w:ascii="楷体" w:hAnsi="楷体" w:eastAsia="楷体" w:cs="楷体"/>
                <w:color w:val="auto"/>
                <w:sz w:val="24"/>
                <w:szCs w:val="24"/>
                <w:lang w:eastAsia="zh-CN"/>
              </w:rPr>
            </w:pPr>
          </w:p>
        </w:tc>
        <w:tc>
          <w:tcPr>
            <w:tcW w:w="882" w:type="dxa"/>
            <w:tcMar>
              <w:top w:w="12" w:type="dxa"/>
              <w:left w:w="12" w:type="dxa"/>
              <w:right w:w="12" w:type="dxa"/>
            </w:tcMar>
            <w:vAlign w:val="center"/>
          </w:tcPr>
          <w:p w14:paraId="1529D4F3">
            <w:pPr>
              <w:widowControl/>
              <w:jc w:val="center"/>
              <w:textAlignment w:val="center"/>
              <w:rPr>
                <w:rFonts w:hint="default"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10</w:t>
            </w:r>
          </w:p>
        </w:tc>
        <w:tc>
          <w:tcPr>
            <w:tcW w:w="5336" w:type="dxa"/>
            <w:tcMar>
              <w:top w:w="12" w:type="dxa"/>
              <w:left w:w="12" w:type="dxa"/>
              <w:right w:w="12" w:type="dxa"/>
            </w:tcMar>
            <w:vAlign w:val="center"/>
          </w:tcPr>
          <w:p w14:paraId="365AA7C3">
            <w:pPr>
              <w:widowControl/>
              <w:ind w:firstLine="420" w:firstLineChars="200"/>
              <w:jc w:val="left"/>
              <w:textAlignment w:val="center"/>
              <w:rPr>
                <w:rFonts w:hint="eastAsia" w:ascii="楷体" w:hAnsi="楷体" w:eastAsia="楷体" w:cs="楷体"/>
                <w:b w:val="0"/>
                <w:bCs w:val="0"/>
                <w:color w:val="auto"/>
                <w:sz w:val="21"/>
                <w:szCs w:val="21"/>
                <w:highlight w:val="none"/>
                <w:lang w:eastAsia="zh-CN"/>
              </w:rPr>
            </w:pPr>
            <w:r>
              <w:rPr>
                <w:rFonts w:hint="eastAsia" w:ascii="楷体" w:hAnsi="楷体" w:eastAsia="楷体" w:cs="楷体"/>
                <w:b w:val="0"/>
                <w:bCs w:val="0"/>
                <w:color w:val="auto"/>
                <w:sz w:val="21"/>
                <w:szCs w:val="21"/>
                <w:highlight w:val="none"/>
              </w:rPr>
              <w:t>根据投标人对本项目制定的服务质量及</w:t>
            </w:r>
            <w:r>
              <w:rPr>
                <w:rFonts w:hint="eastAsia" w:ascii="楷体" w:hAnsi="楷体" w:eastAsia="楷体" w:cs="楷体"/>
                <w:b w:val="0"/>
                <w:bCs w:val="0"/>
                <w:color w:val="auto"/>
                <w:sz w:val="21"/>
                <w:szCs w:val="21"/>
                <w:highlight w:val="none"/>
                <w:lang w:val="en-US" w:eastAsia="zh-CN"/>
              </w:rPr>
              <w:t>管理</w:t>
            </w:r>
            <w:r>
              <w:rPr>
                <w:rFonts w:hint="eastAsia" w:ascii="楷体" w:hAnsi="楷体" w:eastAsia="楷体" w:cs="楷体"/>
                <w:b w:val="0"/>
                <w:bCs w:val="0"/>
                <w:color w:val="auto"/>
                <w:sz w:val="21"/>
                <w:szCs w:val="21"/>
                <w:highlight w:val="none"/>
              </w:rPr>
              <w:t>措施是否全面、合理，进行评审打分</w:t>
            </w:r>
            <w:r>
              <w:rPr>
                <w:rFonts w:hint="eastAsia" w:ascii="楷体" w:hAnsi="楷体" w:eastAsia="楷体" w:cs="楷体"/>
                <w:b w:val="0"/>
                <w:bCs w:val="0"/>
                <w:color w:val="auto"/>
                <w:sz w:val="21"/>
                <w:szCs w:val="21"/>
                <w:highlight w:val="none"/>
                <w:lang w:eastAsia="zh-CN"/>
              </w:rPr>
              <w:t>。</w:t>
            </w:r>
          </w:p>
          <w:p w14:paraId="6C81F555">
            <w:pPr>
              <w:widowControl/>
              <w:ind w:firstLine="420" w:firstLineChars="200"/>
              <w:jc w:val="left"/>
              <w:textAlignment w:val="center"/>
              <w:rPr>
                <w:rFonts w:hint="eastAsia" w:ascii="楷体" w:hAnsi="楷体" w:eastAsia="楷体" w:cs="楷体"/>
                <w:b w:val="0"/>
                <w:bCs w:val="0"/>
                <w:color w:val="auto"/>
                <w:sz w:val="21"/>
                <w:szCs w:val="21"/>
                <w:highlight w:val="none"/>
                <w:lang w:eastAsia="zh-CN"/>
              </w:rPr>
            </w:pPr>
            <w:r>
              <w:rPr>
                <w:rFonts w:hint="eastAsia" w:ascii="楷体" w:hAnsi="楷体" w:eastAsia="楷体" w:cs="楷体"/>
                <w:b w:val="0"/>
                <w:bCs w:val="0"/>
                <w:color w:val="auto"/>
                <w:sz w:val="21"/>
                <w:szCs w:val="21"/>
                <w:highlight w:val="none"/>
                <w:lang w:eastAsia="zh-CN"/>
              </w:rPr>
              <w:t>①项目技术服务质量、时间保障计划安排方案全面、完善可行，科学性强，技术服务质量保证措施详细具体、考虑全面，针对性强的，得</w:t>
            </w:r>
            <w:r>
              <w:rPr>
                <w:rFonts w:hint="eastAsia" w:ascii="楷体" w:hAnsi="楷体" w:eastAsia="楷体" w:cs="楷体"/>
                <w:b w:val="0"/>
                <w:bCs w:val="0"/>
                <w:color w:val="auto"/>
                <w:sz w:val="21"/>
                <w:szCs w:val="21"/>
                <w:highlight w:val="none"/>
                <w:lang w:val="en-US" w:eastAsia="zh-CN"/>
              </w:rPr>
              <w:t>10</w:t>
            </w:r>
            <w:r>
              <w:rPr>
                <w:rFonts w:hint="eastAsia" w:ascii="楷体" w:hAnsi="楷体" w:eastAsia="楷体" w:cs="楷体"/>
                <w:b w:val="0"/>
                <w:bCs w:val="0"/>
                <w:color w:val="auto"/>
                <w:sz w:val="21"/>
                <w:szCs w:val="21"/>
                <w:highlight w:val="none"/>
                <w:lang w:eastAsia="zh-CN"/>
              </w:rPr>
              <w:t>分；</w:t>
            </w:r>
          </w:p>
          <w:p w14:paraId="5ABDF0DE">
            <w:pPr>
              <w:widowControl/>
              <w:ind w:firstLine="420" w:firstLineChars="200"/>
              <w:jc w:val="left"/>
              <w:textAlignment w:val="center"/>
              <w:rPr>
                <w:rFonts w:hint="eastAsia" w:ascii="楷体" w:hAnsi="楷体" w:eastAsia="楷体" w:cs="楷体"/>
                <w:b w:val="0"/>
                <w:bCs w:val="0"/>
                <w:color w:val="auto"/>
                <w:sz w:val="21"/>
                <w:szCs w:val="21"/>
                <w:highlight w:val="none"/>
                <w:lang w:eastAsia="zh-CN"/>
              </w:rPr>
            </w:pPr>
            <w:r>
              <w:rPr>
                <w:rFonts w:hint="eastAsia" w:ascii="楷体" w:hAnsi="楷体" w:eastAsia="楷体" w:cs="楷体"/>
                <w:b w:val="0"/>
                <w:bCs w:val="0"/>
                <w:color w:val="auto"/>
                <w:sz w:val="21"/>
                <w:szCs w:val="21"/>
                <w:highlight w:val="none"/>
                <w:lang w:eastAsia="zh-CN"/>
              </w:rPr>
              <w:t>②项目技术服务质量、时间保障计划安排方案较为具体，考虑基本全面，技术服务质量保证措施较详细、完善、针对性较强的，得</w:t>
            </w:r>
            <w:r>
              <w:rPr>
                <w:rFonts w:hint="eastAsia" w:ascii="楷体" w:hAnsi="楷体" w:eastAsia="楷体" w:cs="楷体"/>
                <w:b w:val="0"/>
                <w:bCs w:val="0"/>
                <w:color w:val="auto"/>
                <w:sz w:val="21"/>
                <w:szCs w:val="21"/>
                <w:highlight w:val="none"/>
                <w:lang w:val="en-US" w:eastAsia="zh-CN"/>
              </w:rPr>
              <w:t>8</w:t>
            </w:r>
            <w:r>
              <w:rPr>
                <w:rFonts w:hint="eastAsia" w:ascii="楷体" w:hAnsi="楷体" w:eastAsia="楷体" w:cs="楷体"/>
                <w:b w:val="0"/>
                <w:bCs w:val="0"/>
                <w:color w:val="auto"/>
                <w:sz w:val="21"/>
                <w:szCs w:val="21"/>
                <w:highlight w:val="none"/>
                <w:lang w:eastAsia="zh-CN"/>
              </w:rPr>
              <w:t>分；</w:t>
            </w:r>
          </w:p>
          <w:p w14:paraId="15BCEE4E">
            <w:pPr>
              <w:widowControl/>
              <w:ind w:firstLine="420" w:firstLineChars="200"/>
              <w:jc w:val="left"/>
              <w:textAlignment w:val="center"/>
              <w:rPr>
                <w:rFonts w:hint="eastAsia" w:ascii="楷体" w:hAnsi="楷体" w:eastAsia="楷体" w:cs="楷体"/>
                <w:b w:val="0"/>
                <w:bCs w:val="0"/>
                <w:color w:val="auto"/>
                <w:sz w:val="21"/>
                <w:szCs w:val="21"/>
                <w:highlight w:val="none"/>
                <w:lang w:eastAsia="zh-CN"/>
              </w:rPr>
            </w:pPr>
            <w:r>
              <w:rPr>
                <w:rFonts w:hint="eastAsia" w:ascii="楷体" w:hAnsi="楷体" w:eastAsia="楷体" w:cs="楷体"/>
                <w:b w:val="0"/>
                <w:bCs w:val="0"/>
                <w:color w:val="auto"/>
                <w:sz w:val="21"/>
                <w:szCs w:val="21"/>
                <w:highlight w:val="none"/>
                <w:lang w:eastAsia="zh-CN"/>
              </w:rPr>
              <w:t>③项目技术服务质量、时间保障计划安排方案较为具体，但全面性、合理性较差，技术服务质量保证措施较为具体但考虑不全，内容不够科学合理，得</w:t>
            </w:r>
            <w:r>
              <w:rPr>
                <w:rFonts w:hint="eastAsia" w:ascii="楷体" w:hAnsi="楷体" w:eastAsia="楷体" w:cs="楷体"/>
                <w:b w:val="0"/>
                <w:bCs w:val="0"/>
                <w:color w:val="auto"/>
                <w:sz w:val="21"/>
                <w:szCs w:val="21"/>
                <w:highlight w:val="none"/>
                <w:lang w:val="en-US" w:eastAsia="zh-CN"/>
              </w:rPr>
              <w:t>5</w:t>
            </w:r>
            <w:r>
              <w:rPr>
                <w:rFonts w:hint="eastAsia" w:ascii="楷体" w:hAnsi="楷体" w:eastAsia="楷体" w:cs="楷体"/>
                <w:b w:val="0"/>
                <w:bCs w:val="0"/>
                <w:color w:val="auto"/>
                <w:sz w:val="21"/>
                <w:szCs w:val="21"/>
                <w:highlight w:val="none"/>
                <w:lang w:eastAsia="zh-CN"/>
              </w:rPr>
              <w:t>分；</w:t>
            </w:r>
          </w:p>
          <w:p w14:paraId="4CAA1D1E">
            <w:pPr>
              <w:widowControl/>
              <w:ind w:firstLine="420" w:firstLineChars="200"/>
              <w:jc w:val="left"/>
              <w:textAlignment w:val="center"/>
              <w:rPr>
                <w:rFonts w:hint="eastAsia" w:ascii="楷体" w:hAnsi="楷体" w:eastAsia="楷体" w:cs="楷体"/>
                <w:b w:val="0"/>
                <w:bCs w:val="0"/>
                <w:color w:val="auto"/>
                <w:sz w:val="21"/>
                <w:szCs w:val="21"/>
                <w:highlight w:val="none"/>
                <w:lang w:eastAsia="zh-CN"/>
              </w:rPr>
            </w:pPr>
            <w:r>
              <w:rPr>
                <w:rFonts w:hint="eastAsia" w:ascii="楷体" w:hAnsi="楷体" w:eastAsia="楷体" w:cs="楷体"/>
                <w:b w:val="0"/>
                <w:bCs w:val="0"/>
                <w:color w:val="auto"/>
                <w:sz w:val="21"/>
                <w:szCs w:val="21"/>
                <w:highlight w:val="none"/>
                <w:lang w:eastAsia="zh-CN"/>
              </w:rPr>
              <w:t>④项目技术服务质量、时间保障计划安排方案不完善、可行性差，技术服务质量保证措施不详细、针对性低的，得</w:t>
            </w:r>
            <w:r>
              <w:rPr>
                <w:rFonts w:hint="eastAsia" w:ascii="楷体" w:hAnsi="楷体" w:eastAsia="楷体" w:cs="楷体"/>
                <w:b w:val="0"/>
                <w:bCs w:val="0"/>
                <w:color w:val="auto"/>
                <w:sz w:val="21"/>
                <w:szCs w:val="21"/>
                <w:highlight w:val="none"/>
                <w:lang w:val="en-US" w:eastAsia="zh-CN"/>
              </w:rPr>
              <w:t>2</w:t>
            </w:r>
            <w:r>
              <w:rPr>
                <w:rFonts w:hint="eastAsia" w:ascii="楷体" w:hAnsi="楷体" w:eastAsia="楷体" w:cs="楷体"/>
                <w:b w:val="0"/>
                <w:bCs w:val="0"/>
                <w:color w:val="auto"/>
                <w:sz w:val="21"/>
                <w:szCs w:val="21"/>
                <w:highlight w:val="none"/>
                <w:lang w:eastAsia="zh-CN"/>
              </w:rPr>
              <w:t>分；</w:t>
            </w:r>
          </w:p>
          <w:p w14:paraId="30651EFA">
            <w:pPr>
              <w:widowControl/>
              <w:ind w:firstLine="420" w:firstLineChars="200"/>
              <w:jc w:val="left"/>
              <w:textAlignment w:val="center"/>
              <w:rPr>
                <w:rFonts w:hint="eastAsia" w:ascii="楷体" w:hAnsi="楷体" w:eastAsia="楷体" w:cs="楷体"/>
                <w:b w:val="0"/>
                <w:bCs w:val="0"/>
                <w:color w:val="auto"/>
                <w:sz w:val="21"/>
                <w:szCs w:val="21"/>
                <w:highlight w:val="none"/>
              </w:rPr>
            </w:pPr>
            <w:r>
              <w:rPr>
                <w:rFonts w:hint="eastAsia" w:ascii="楷体" w:hAnsi="楷体" w:eastAsia="楷体" w:cs="楷体"/>
                <w:b w:val="0"/>
                <w:bCs w:val="0"/>
                <w:color w:val="auto"/>
                <w:sz w:val="21"/>
                <w:szCs w:val="21"/>
                <w:highlight w:val="none"/>
                <w:lang w:eastAsia="zh-CN"/>
              </w:rPr>
              <w:t>⑤没有提供相关方案或相关方案被评定为不可行的不得分。</w:t>
            </w:r>
          </w:p>
        </w:tc>
        <w:tc>
          <w:tcPr>
            <w:tcW w:w="765" w:type="dxa"/>
            <w:tcMar>
              <w:top w:w="12" w:type="dxa"/>
              <w:left w:w="12" w:type="dxa"/>
              <w:right w:w="12" w:type="dxa"/>
            </w:tcMar>
            <w:vAlign w:val="center"/>
          </w:tcPr>
          <w:p w14:paraId="3610B635">
            <w:pPr>
              <w:widowControl/>
              <w:jc w:val="center"/>
              <w:textAlignment w:val="center"/>
              <w:rPr>
                <w:rFonts w:hint="eastAsia" w:ascii="楷体" w:hAnsi="楷体" w:eastAsia="楷体" w:cs="楷体"/>
                <w:color w:val="auto"/>
                <w:kern w:val="0"/>
                <w:sz w:val="24"/>
                <w:szCs w:val="24"/>
                <w:highlight w:val="none"/>
                <w:lang w:bidi="ar"/>
              </w:rPr>
            </w:pPr>
          </w:p>
        </w:tc>
        <w:tc>
          <w:tcPr>
            <w:tcW w:w="699" w:type="dxa"/>
            <w:tcMar>
              <w:top w:w="12" w:type="dxa"/>
              <w:left w:w="12" w:type="dxa"/>
              <w:right w:w="12" w:type="dxa"/>
            </w:tcMar>
            <w:vAlign w:val="center"/>
          </w:tcPr>
          <w:p w14:paraId="335C41E5">
            <w:pPr>
              <w:widowControl/>
              <w:jc w:val="center"/>
              <w:textAlignment w:val="center"/>
              <w:rPr>
                <w:rFonts w:hint="eastAsia" w:ascii="楷体" w:hAnsi="楷体" w:eastAsia="楷体" w:cs="楷体"/>
                <w:color w:val="auto"/>
                <w:kern w:val="0"/>
                <w:sz w:val="24"/>
                <w:szCs w:val="24"/>
                <w:lang w:val="en-US" w:eastAsia="zh-CN" w:bidi="ar"/>
              </w:rPr>
            </w:pPr>
          </w:p>
        </w:tc>
      </w:tr>
      <w:tr w14:paraId="141A3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0" w:hRule="atLeast"/>
          <w:jc w:val="center"/>
        </w:trPr>
        <w:tc>
          <w:tcPr>
            <w:tcW w:w="1158" w:type="dxa"/>
            <w:vMerge w:val="continue"/>
            <w:tcMar>
              <w:top w:w="12" w:type="dxa"/>
              <w:left w:w="12" w:type="dxa"/>
              <w:right w:w="12" w:type="dxa"/>
            </w:tcMar>
            <w:vAlign w:val="center"/>
          </w:tcPr>
          <w:p w14:paraId="537ED4A3">
            <w:pPr>
              <w:jc w:val="center"/>
              <w:rPr>
                <w:rFonts w:hint="eastAsia" w:ascii="楷体" w:hAnsi="楷体" w:eastAsia="楷体" w:cs="楷体"/>
                <w:color w:val="auto"/>
                <w:sz w:val="24"/>
                <w:szCs w:val="24"/>
                <w:lang w:eastAsia="zh-CN"/>
              </w:rPr>
            </w:pPr>
          </w:p>
        </w:tc>
        <w:tc>
          <w:tcPr>
            <w:tcW w:w="882" w:type="dxa"/>
            <w:tcMar>
              <w:top w:w="12" w:type="dxa"/>
              <w:left w:w="12" w:type="dxa"/>
              <w:right w:w="12" w:type="dxa"/>
            </w:tcMar>
            <w:vAlign w:val="center"/>
          </w:tcPr>
          <w:p w14:paraId="39A62123">
            <w:pPr>
              <w:widowControl/>
              <w:jc w:val="center"/>
              <w:textAlignment w:val="center"/>
              <w:rPr>
                <w:rFonts w:hint="default"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10</w:t>
            </w:r>
          </w:p>
        </w:tc>
        <w:tc>
          <w:tcPr>
            <w:tcW w:w="5336" w:type="dxa"/>
            <w:tcMar>
              <w:top w:w="12" w:type="dxa"/>
              <w:left w:w="12" w:type="dxa"/>
              <w:right w:w="12" w:type="dxa"/>
            </w:tcMar>
            <w:vAlign w:val="center"/>
          </w:tcPr>
          <w:p w14:paraId="3F9ED75F">
            <w:pPr>
              <w:widowControl/>
              <w:ind w:firstLine="420" w:firstLineChars="200"/>
              <w:jc w:val="left"/>
              <w:textAlignment w:val="center"/>
              <w:rPr>
                <w:rFonts w:hint="eastAsia" w:ascii="楷体" w:hAnsi="楷体" w:eastAsia="楷体" w:cs="楷体"/>
                <w:b w:val="0"/>
                <w:bCs w:val="0"/>
                <w:color w:val="auto"/>
                <w:sz w:val="21"/>
                <w:szCs w:val="21"/>
                <w:highlight w:val="none"/>
                <w:lang w:eastAsia="zh-CN"/>
              </w:rPr>
            </w:pPr>
            <w:r>
              <w:rPr>
                <w:rFonts w:hint="eastAsia" w:ascii="楷体" w:hAnsi="楷体" w:eastAsia="楷体" w:cs="楷体"/>
                <w:b w:val="0"/>
                <w:bCs w:val="0"/>
                <w:color w:val="auto"/>
                <w:sz w:val="21"/>
                <w:szCs w:val="21"/>
                <w:highlight w:val="none"/>
              </w:rPr>
              <w:t>根据投标人对</w:t>
            </w:r>
            <w:r>
              <w:rPr>
                <w:rFonts w:hint="eastAsia" w:ascii="楷体" w:hAnsi="楷体" w:eastAsia="楷体" w:cs="楷体"/>
                <w:b w:val="0"/>
                <w:bCs w:val="0"/>
                <w:color w:val="auto"/>
                <w:sz w:val="21"/>
                <w:szCs w:val="21"/>
                <w:highlight w:val="none"/>
                <w:lang w:val="en-US" w:eastAsia="zh-CN"/>
              </w:rPr>
              <w:t>本项目定制的</w:t>
            </w:r>
            <w:r>
              <w:rPr>
                <w:rFonts w:hint="eastAsia" w:ascii="楷体" w:hAnsi="楷体" w:eastAsia="楷体" w:cs="楷体"/>
                <w:b w:val="0"/>
                <w:bCs w:val="0"/>
                <w:color w:val="auto"/>
                <w:sz w:val="21"/>
                <w:szCs w:val="21"/>
                <w:highlight w:val="none"/>
              </w:rPr>
              <w:t>后续服务措施是否全面、合理，进行评审打分</w:t>
            </w:r>
            <w:r>
              <w:rPr>
                <w:rFonts w:hint="eastAsia" w:ascii="楷体" w:hAnsi="楷体" w:eastAsia="楷体" w:cs="楷体"/>
                <w:b w:val="0"/>
                <w:bCs w:val="0"/>
                <w:color w:val="auto"/>
                <w:sz w:val="21"/>
                <w:szCs w:val="21"/>
                <w:highlight w:val="none"/>
                <w:lang w:eastAsia="zh-CN"/>
              </w:rPr>
              <w:t>。</w:t>
            </w:r>
          </w:p>
          <w:p w14:paraId="1CFA540F">
            <w:pPr>
              <w:widowControl/>
              <w:ind w:firstLine="420" w:firstLineChars="200"/>
              <w:jc w:val="left"/>
              <w:textAlignment w:val="center"/>
              <w:rPr>
                <w:rFonts w:hint="eastAsia" w:ascii="楷体" w:hAnsi="楷体" w:eastAsia="楷体" w:cs="楷体"/>
                <w:b w:val="0"/>
                <w:bCs w:val="0"/>
                <w:color w:val="auto"/>
                <w:sz w:val="21"/>
                <w:szCs w:val="21"/>
                <w:highlight w:val="none"/>
                <w:lang w:eastAsia="zh-CN"/>
              </w:rPr>
            </w:pPr>
            <w:r>
              <w:rPr>
                <w:rFonts w:hint="eastAsia" w:ascii="楷体" w:hAnsi="楷体" w:eastAsia="楷体" w:cs="楷体"/>
                <w:b w:val="0"/>
                <w:bCs w:val="0"/>
                <w:color w:val="auto"/>
                <w:sz w:val="21"/>
                <w:szCs w:val="21"/>
                <w:highlight w:val="none"/>
                <w:lang w:eastAsia="zh-CN"/>
              </w:rPr>
              <w:t>①</w:t>
            </w:r>
            <w:r>
              <w:rPr>
                <w:rFonts w:hint="eastAsia" w:ascii="楷体" w:hAnsi="楷体" w:eastAsia="楷体" w:cs="楷体"/>
                <w:b w:val="0"/>
                <w:bCs w:val="0"/>
                <w:color w:val="auto"/>
                <w:sz w:val="21"/>
                <w:szCs w:val="21"/>
                <w:highlight w:val="none"/>
              </w:rPr>
              <w:t>后续服务措施</w:t>
            </w:r>
            <w:r>
              <w:rPr>
                <w:rFonts w:hint="eastAsia" w:ascii="楷体" w:hAnsi="楷体" w:eastAsia="楷体" w:cs="楷体"/>
                <w:b w:val="0"/>
                <w:bCs w:val="0"/>
                <w:color w:val="auto"/>
                <w:sz w:val="21"/>
                <w:szCs w:val="21"/>
                <w:highlight w:val="none"/>
                <w:lang w:eastAsia="zh-CN"/>
              </w:rPr>
              <w:t>全面、完善可行，科学性强，报告交付后的基础服务详细具体、考虑全面，针对性强的，得</w:t>
            </w:r>
            <w:r>
              <w:rPr>
                <w:rFonts w:hint="eastAsia" w:ascii="楷体" w:hAnsi="楷体" w:eastAsia="楷体" w:cs="楷体"/>
                <w:b w:val="0"/>
                <w:bCs w:val="0"/>
                <w:color w:val="auto"/>
                <w:sz w:val="21"/>
                <w:szCs w:val="21"/>
                <w:highlight w:val="none"/>
                <w:lang w:val="en-US" w:eastAsia="zh-CN"/>
              </w:rPr>
              <w:t>10</w:t>
            </w:r>
            <w:r>
              <w:rPr>
                <w:rFonts w:hint="eastAsia" w:ascii="楷体" w:hAnsi="楷体" w:eastAsia="楷体" w:cs="楷体"/>
                <w:b w:val="0"/>
                <w:bCs w:val="0"/>
                <w:color w:val="auto"/>
                <w:sz w:val="21"/>
                <w:szCs w:val="21"/>
                <w:highlight w:val="none"/>
                <w:lang w:eastAsia="zh-CN"/>
              </w:rPr>
              <w:t>分；</w:t>
            </w:r>
          </w:p>
          <w:p w14:paraId="7FE9C13F">
            <w:pPr>
              <w:widowControl/>
              <w:ind w:firstLine="420" w:firstLineChars="200"/>
              <w:jc w:val="left"/>
              <w:textAlignment w:val="center"/>
              <w:rPr>
                <w:rFonts w:hint="eastAsia" w:ascii="楷体" w:hAnsi="楷体" w:eastAsia="楷体" w:cs="楷体"/>
                <w:b w:val="0"/>
                <w:bCs w:val="0"/>
                <w:color w:val="auto"/>
                <w:sz w:val="21"/>
                <w:szCs w:val="21"/>
                <w:highlight w:val="none"/>
                <w:lang w:eastAsia="zh-CN"/>
              </w:rPr>
            </w:pPr>
            <w:r>
              <w:rPr>
                <w:rFonts w:hint="eastAsia" w:ascii="楷体" w:hAnsi="楷体" w:eastAsia="楷体" w:cs="楷体"/>
                <w:b w:val="0"/>
                <w:bCs w:val="0"/>
                <w:color w:val="auto"/>
                <w:sz w:val="21"/>
                <w:szCs w:val="21"/>
                <w:highlight w:val="none"/>
                <w:lang w:eastAsia="zh-CN"/>
              </w:rPr>
              <w:t>②</w:t>
            </w:r>
            <w:r>
              <w:rPr>
                <w:rFonts w:hint="eastAsia" w:ascii="楷体" w:hAnsi="楷体" w:eastAsia="楷体" w:cs="楷体"/>
                <w:b w:val="0"/>
                <w:bCs w:val="0"/>
                <w:color w:val="auto"/>
                <w:sz w:val="21"/>
                <w:szCs w:val="21"/>
                <w:highlight w:val="none"/>
              </w:rPr>
              <w:t>后续服务措施</w:t>
            </w:r>
            <w:r>
              <w:rPr>
                <w:rFonts w:hint="eastAsia" w:ascii="楷体" w:hAnsi="楷体" w:eastAsia="楷体" w:cs="楷体"/>
                <w:b w:val="0"/>
                <w:bCs w:val="0"/>
                <w:color w:val="auto"/>
                <w:sz w:val="21"/>
                <w:szCs w:val="21"/>
                <w:highlight w:val="none"/>
                <w:lang w:eastAsia="zh-CN"/>
              </w:rPr>
              <w:t>较为具体，考虑基本全面，报告交付后的基础服务较详细、完善、针对性较强的，得</w:t>
            </w:r>
            <w:r>
              <w:rPr>
                <w:rFonts w:hint="eastAsia" w:ascii="楷体" w:hAnsi="楷体" w:eastAsia="楷体" w:cs="楷体"/>
                <w:b w:val="0"/>
                <w:bCs w:val="0"/>
                <w:color w:val="auto"/>
                <w:sz w:val="21"/>
                <w:szCs w:val="21"/>
                <w:highlight w:val="none"/>
                <w:lang w:val="en-US" w:eastAsia="zh-CN"/>
              </w:rPr>
              <w:t>8</w:t>
            </w:r>
            <w:r>
              <w:rPr>
                <w:rFonts w:hint="eastAsia" w:ascii="楷体" w:hAnsi="楷体" w:eastAsia="楷体" w:cs="楷体"/>
                <w:b w:val="0"/>
                <w:bCs w:val="0"/>
                <w:color w:val="auto"/>
                <w:sz w:val="21"/>
                <w:szCs w:val="21"/>
                <w:highlight w:val="none"/>
                <w:lang w:eastAsia="zh-CN"/>
              </w:rPr>
              <w:t>分；</w:t>
            </w:r>
          </w:p>
          <w:p w14:paraId="25E9B4E2">
            <w:pPr>
              <w:widowControl/>
              <w:ind w:firstLine="420" w:firstLineChars="200"/>
              <w:jc w:val="left"/>
              <w:textAlignment w:val="center"/>
              <w:rPr>
                <w:rFonts w:hint="eastAsia" w:ascii="楷体" w:hAnsi="楷体" w:eastAsia="楷体" w:cs="楷体"/>
                <w:b w:val="0"/>
                <w:bCs w:val="0"/>
                <w:color w:val="auto"/>
                <w:sz w:val="21"/>
                <w:szCs w:val="21"/>
                <w:highlight w:val="none"/>
                <w:lang w:eastAsia="zh-CN"/>
              </w:rPr>
            </w:pPr>
            <w:r>
              <w:rPr>
                <w:rFonts w:hint="eastAsia" w:ascii="楷体" w:hAnsi="楷体" w:eastAsia="楷体" w:cs="楷体"/>
                <w:b w:val="0"/>
                <w:bCs w:val="0"/>
                <w:color w:val="auto"/>
                <w:sz w:val="21"/>
                <w:szCs w:val="21"/>
                <w:highlight w:val="none"/>
                <w:lang w:eastAsia="zh-CN"/>
              </w:rPr>
              <w:t>③</w:t>
            </w:r>
            <w:r>
              <w:rPr>
                <w:rFonts w:hint="eastAsia" w:ascii="楷体" w:hAnsi="楷体" w:eastAsia="楷体" w:cs="楷体"/>
                <w:b w:val="0"/>
                <w:bCs w:val="0"/>
                <w:color w:val="auto"/>
                <w:sz w:val="21"/>
                <w:szCs w:val="21"/>
                <w:highlight w:val="none"/>
              </w:rPr>
              <w:t>后续服务措施</w:t>
            </w:r>
            <w:r>
              <w:rPr>
                <w:rFonts w:hint="eastAsia" w:ascii="楷体" w:hAnsi="楷体" w:eastAsia="楷体" w:cs="楷体"/>
                <w:b w:val="0"/>
                <w:bCs w:val="0"/>
                <w:color w:val="auto"/>
                <w:sz w:val="21"/>
                <w:szCs w:val="21"/>
                <w:highlight w:val="none"/>
                <w:lang w:eastAsia="zh-CN"/>
              </w:rPr>
              <w:t>较为具体，但全面性、合理性较差，报告交付后的基础服务较为具体但考虑不全，内容不够科学合理，得</w:t>
            </w:r>
            <w:r>
              <w:rPr>
                <w:rFonts w:hint="eastAsia" w:ascii="楷体" w:hAnsi="楷体" w:eastAsia="楷体" w:cs="楷体"/>
                <w:b w:val="0"/>
                <w:bCs w:val="0"/>
                <w:color w:val="auto"/>
                <w:sz w:val="21"/>
                <w:szCs w:val="21"/>
                <w:highlight w:val="none"/>
                <w:lang w:val="en-US" w:eastAsia="zh-CN"/>
              </w:rPr>
              <w:t>5</w:t>
            </w:r>
            <w:r>
              <w:rPr>
                <w:rFonts w:hint="eastAsia" w:ascii="楷体" w:hAnsi="楷体" w:eastAsia="楷体" w:cs="楷体"/>
                <w:b w:val="0"/>
                <w:bCs w:val="0"/>
                <w:color w:val="auto"/>
                <w:sz w:val="21"/>
                <w:szCs w:val="21"/>
                <w:highlight w:val="none"/>
                <w:lang w:eastAsia="zh-CN"/>
              </w:rPr>
              <w:t>分；</w:t>
            </w:r>
          </w:p>
          <w:p w14:paraId="53ECD4BE">
            <w:pPr>
              <w:widowControl/>
              <w:ind w:firstLine="420" w:firstLineChars="200"/>
              <w:jc w:val="left"/>
              <w:textAlignment w:val="center"/>
              <w:rPr>
                <w:rFonts w:hint="eastAsia" w:ascii="楷体" w:hAnsi="楷体" w:eastAsia="楷体" w:cs="楷体"/>
                <w:b w:val="0"/>
                <w:bCs w:val="0"/>
                <w:color w:val="auto"/>
                <w:sz w:val="21"/>
                <w:szCs w:val="21"/>
                <w:highlight w:val="none"/>
                <w:lang w:eastAsia="zh-CN"/>
              </w:rPr>
            </w:pPr>
            <w:r>
              <w:rPr>
                <w:rFonts w:hint="eastAsia" w:ascii="楷体" w:hAnsi="楷体" w:eastAsia="楷体" w:cs="楷体"/>
                <w:b w:val="0"/>
                <w:bCs w:val="0"/>
                <w:color w:val="auto"/>
                <w:sz w:val="21"/>
                <w:szCs w:val="21"/>
                <w:highlight w:val="none"/>
                <w:lang w:eastAsia="zh-CN"/>
              </w:rPr>
              <w:t>④</w:t>
            </w:r>
            <w:r>
              <w:rPr>
                <w:rFonts w:hint="eastAsia" w:ascii="楷体" w:hAnsi="楷体" w:eastAsia="楷体" w:cs="楷体"/>
                <w:b w:val="0"/>
                <w:bCs w:val="0"/>
                <w:color w:val="auto"/>
                <w:sz w:val="21"/>
                <w:szCs w:val="21"/>
                <w:highlight w:val="none"/>
              </w:rPr>
              <w:t>后续服务措施</w:t>
            </w:r>
            <w:r>
              <w:rPr>
                <w:rFonts w:hint="eastAsia" w:ascii="楷体" w:hAnsi="楷体" w:eastAsia="楷体" w:cs="楷体"/>
                <w:b w:val="0"/>
                <w:bCs w:val="0"/>
                <w:color w:val="auto"/>
                <w:sz w:val="21"/>
                <w:szCs w:val="21"/>
                <w:highlight w:val="none"/>
                <w:lang w:eastAsia="zh-CN"/>
              </w:rPr>
              <w:t>不完善、可行性差，报告交付后的基础服务不详细、针对性低的，得</w:t>
            </w:r>
            <w:r>
              <w:rPr>
                <w:rFonts w:hint="eastAsia" w:ascii="楷体" w:hAnsi="楷体" w:eastAsia="楷体" w:cs="楷体"/>
                <w:b w:val="0"/>
                <w:bCs w:val="0"/>
                <w:color w:val="auto"/>
                <w:sz w:val="21"/>
                <w:szCs w:val="21"/>
                <w:highlight w:val="none"/>
                <w:lang w:val="en-US" w:eastAsia="zh-CN"/>
              </w:rPr>
              <w:t>2</w:t>
            </w:r>
            <w:r>
              <w:rPr>
                <w:rFonts w:hint="eastAsia" w:ascii="楷体" w:hAnsi="楷体" w:eastAsia="楷体" w:cs="楷体"/>
                <w:b w:val="0"/>
                <w:bCs w:val="0"/>
                <w:color w:val="auto"/>
                <w:sz w:val="21"/>
                <w:szCs w:val="21"/>
                <w:highlight w:val="none"/>
                <w:lang w:eastAsia="zh-CN"/>
              </w:rPr>
              <w:t>分；</w:t>
            </w:r>
          </w:p>
          <w:p w14:paraId="64A50139">
            <w:pPr>
              <w:widowControl/>
              <w:ind w:firstLine="420" w:firstLineChars="200"/>
              <w:jc w:val="left"/>
              <w:textAlignment w:val="center"/>
              <w:rPr>
                <w:rFonts w:hint="eastAsia" w:ascii="楷体" w:hAnsi="楷体" w:eastAsia="楷体" w:cs="楷体"/>
                <w:b w:val="0"/>
                <w:bCs w:val="0"/>
                <w:color w:val="auto"/>
                <w:sz w:val="21"/>
                <w:szCs w:val="21"/>
                <w:highlight w:val="none"/>
              </w:rPr>
            </w:pPr>
            <w:r>
              <w:rPr>
                <w:rFonts w:hint="eastAsia" w:ascii="楷体" w:hAnsi="楷体" w:eastAsia="楷体" w:cs="楷体"/>
                <w:b w:val="0"/>
                <w:bCs w:val="0"/>
                <w:color w:val="auto"/>
                <w:sz w:val="21"/>
                <w:szCs w:val="21"/>
                <w:highlight w:val="none"/>
                <w:lang w:eastAsia="zh-CN"/>
              </w:rPr>
              <w:t>⑤没有提供相关方案或相关方案被评定为不可行的不得分。</w:t>
            </w:r>
          </w:p>
        </w:tc>
        <w:tc>
          <w:tcPr>
            <w:tcW w:w="765" w:type="dxa"/>
            <w:tcMar>
              <w:top w:w="12" w:type="dxa"/>
              <w:left w:w="12" w:type="dxa"/>
              <w:right w:w="12" w:type="dxa"/>
            </w:tcMar>
            <w:vAlign w:val="center"/>
          </w:tcPr>
          <w:p w14:paraId="389138A5">
            <w:pPr>
              <w:widowControl/>
              <w:jc w:val="center"/>
              <w:textAlignment w:val="center"/>
              <w:rPr>
                <w:rFonts w:hint="eastAsia" w:ascii="楷体" w:hAnsi="楷体" w:eastAsia="楷体" w:cs="楷体"/>
                <w:color w:val="auto"/>
                <w:kern w:val="0"/>
                <w:sz w:val="24"/>
                <w:szCs w:val="24"/>
                <w:highlight w:val="none"/>
                <w:lang w:bidi="ar"/>
              </w:rPr>
            </w:pPr>
          </w:p>
        </w:tc>
        <w:tc>
          <w:tcPr>
            <w:tcW w:w="699" w:type="dxa"/>
            <w:tcMar>
              <w:top w:w="12" w:type="dxa"/>
              <w:left w:w="12" w:type="dxa"/>
              <w:right w:w="12" w:type="dxa"/>
            </w:tcMar>
            <w:vAlign w:val="center"/>
          </w:tcPr>
          <w:p w14:paraId="1F29F8B9">
            <w:pPr>
              <w:widowControl/>
              <w:jc w:val="center"/>
              <w:textAlignment w:val="center"/>
              <w:rPr>
                <w:rFonts w:hint="eastAsia" w:ascii="楷体" w:hAnsi="楷体" w:eastAsia="楷体" w:cs="楷体"/>
                <w:color w:val="auto"/>
                <w:kern w:val="0"/>
                <w:sz w:val="24"/>
                <w:szCs w:val="24"/>
                <w:lang w:val="en-US" w:eastAsia="zh-CN" w:bidi="ar"/>
              </w:rPr>
            </w:pPr>
          </w:p>
        </w:tc>
      </w:tr>
      <w:tr w14:paraId="16DC9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38" w:hRule="atLeast"/>
          <w:jc w:val="center"/>
        </w:trPr>
        <w:tc>
          <w:tcPr>
            <w:tcW w:w="1158" w:type="dxa"/>
            <w:tcMar>
              <w:top w:w="12" w:type="dxa"/>
              <w:left w:w="12" w:type="dxa"/>
              <w:right w:w="12" w:type="dxa"/>
            </w:tcMar>
            <w:vAlign w:val="center"/>
          </w:tcPr>
          <w:p w14:paraId="4A60A6A3">
            <w:pPr>
              <w:widowControl/>
              <w:jc w:val="center"/>
              <w:textAlignment w:val="center"/>
              <w:rPr>
                <w:rFonts w:hint="eastAsia" w:ascii="楷体" w:hAnsi="楷体" w:eastAsia="楷体" w:cs="楷体"/>
                <w:color w:val="auto"/>
                <w:kern w:val="0"/>
                <w:sz w:val="24"/>
                <w:szCs w:val="24"/>
                <w:lang w:bidi="ar"/>
              </w:rPr>
            </w:pPr>
            <w:r>
              <w:rPr>
                <w:rFonts w:hint="eastAsia" w:ascii="楷体" w:hAnsi="楷体" w:eastAsia="楷体" w:cs="楷体"/>
                <w:color w:val="auto"/>
                <w:kern w:val="0"/>
                <w:sz w:val="24"/>
                <w:szCs w:val="24"/>
                <w:lang w:bidi="ar"/>
              </w:rPr>
              <w:t>价格部分</w:t>
            </w:r>
          </w:p>
          <w:p w14:paraId="3E752CDF">
            <w:pPr>
              <w:widowControl/>
              <w:jc w:val="center"/>
              <w:textAlignment w:val="center"/>
              <w:rPr>
                <w:rFonts w:hint="eastAsia" w:ascii="楷体" w:hAnsi="楷体" w:eastAsia="楷体" w:cs="楷体"/>
                <w:color w:val="auto"/>
                <w:sz w:val="24"/>
                <w:szCs w:val="24"/>
              </w:rPr>
            </w:pPr>
            <w:r>
              <w:rPr>
                <w:rFonts w:hint="eastAsia" w:ascii="楷体" w:hAnsi="楷体" w:eastAsia="楷体" w:cs="楷体"/>
                <w:color w:val="auto"/>
                <w:kern w:val="0"/>
                <w:sz w:val="24"/>
                <w:szCs w:val="24"/>
                <w:lang w:bidi="ar"/>
              </w:rPr>
              <w:t>（</w:t>
            </w:r>
            <w:r>
              <w:rPr>
                <w:rFonts w:hint="eastAsia" w:ascii="楷体" w:hAnsi="楷体" w:eastAsia="楷体" w:cs="楷体"/>
                <w:color w:val="auto"/>
                <w:kern w:val="0"/>
                <w:sz w:val="24"/>
                <w:szCs w:val="24"/>
                <w:lang w:val="en-US" w:eastAsia="zh-CN" w:bidi="ar"/>
              </w:rPr>
              <w:t>30</w:t>
            </w:r>
            <w:r>
              <w:rPr>
                <w:rFonts w:hint="eastAsia" w:ascii="楷体" w:hAnsi="楷体" w:eastAsia="楷体" w:cs="楷体"/>
                <w:color w:val="auto"/>
                <w:kern w:val="0"/>
                <w:sz w:val="24"/>
                <w:szCs w:val="24"/>
                <w:lang w:bidi="ar"/>
              </w:rPr>
              <w:t>分）</w:t>
            </w:r>
          </w:p>
        </w:tc>
        <w:tc>
          <w:tcPr>
            <w:tcW w:w="882" w:type="dxa"/>
            <w:tcMar>
              <w:top w:w="12" w:type="dxa"/>
              <w:left w:w="12" w:type="dxa"/>
              <w:right w:w="12" w:type="dxa"/>
            </w:tcMar>
            <w:vAlign w:val="center"/>
          </w:tcPr>
          <w:p w14:paraId="51E60102">
            <w:pPr>
              <w:widowControl/>
              <w:jc w:val="center"/>
              <w:textAlignment w:val="center"/>
              <w:rPr>
                <w:rFonts w:hint="eastAsia" w:ascii="楷体" w:hAnsi="楷体" w:eastAsia="楷体" w:cs="楷体"/>
                <w:color w:val="auto"/>
                <w:sz w:val="24"/>
                <w:szCs w:val="24"/>
                <w:lang w:val="en-US"/>
              </w:rPr>
            </w:pPr>
            <w:r>
              <w:rPr>
                <w:rFonts w:hint="eastAsia" w:ascii="楷体" w:hAnsi="楷体" w:eastAsia="楷体" w:cs="楷体"/>
                <w:color w:val="auto"/>
                <w:kern w:val="0"/>
                <w:sz w:val="24"/>
                <w:szCs w:val="24"/>
                <w:lang w:val="en-US" w:eastAsia="zh-CN" w:bidi="ar"/>
              </w:rPr>
              <w:t>30</w:t>
            </w:r>
          </w:p>
        </w:tc>
        <w:tc>
          <w:tcPr>
            <w:tcW w:w="5336" w:type="dxa"/>
            <w:tcMar>
              <w:top w:w="12" w:type="dxa"/>
              <w:left w:w="12" w:type="dxa"/>
              <w:right w:w="12" w:type="dxa"/>
            </w:tcMar>
            <w:vAlign w:val="center"/>
          </w:tcPr>
          <w:p w14:paraId="3BE00CE9">
            <w:pPr>
              <w:pStyle w:val="2"/>
              <w:ind w:left="0" w:leftChars="0" w:firstLine="0" w:firstLineChars="0"/>
              <w:rPr>
                <w:rStyle w:val="8"/>
                <w:rFonts w:hint="default" w:ascii="楷体" w:hAnsi="楷体" w:eastAsia="楷体" w:cs="楷体"/>
                <w:color w:val="auto"/>
                <w:kern w:val="0"/>
                <w:sz w:val="22"/>
                <w:szCs w:val="22"/>
                <w:highlight w:val="none"/>
                <w:lang w:val="en-US" w:eastAsia="zh-CN" w:bidi="ar-SA"/>
              </w:rPr>
            </w:pPr>
            <w:r>
              <w:rPr>
                <w:rFonts w:hint="eastAsia" w:ascii="楷体" w:hAnsi="楷体" w:eastAsia="楷体" w:cs="楷体"/>
                <w:b/>
                <w:bCs/>
                <w:color w:val="auto"/>
                <w:kern w:val="0"/>
                <w:sz w:val="22"/>
                <w:szCs w:val="22"/>
                <w:lang w:bidi="ar"/>
              </w:rPr>
              <w:t>价格</w:t>
            </w:r>
            <w:r>
              <w:rPr>
                <w:rFonts w:hint="eastAsia" w:ascii="楷体" w:hAnsi="楷体" w:eastAsia="楷体" w:cs="楷体"/>
                <w:b/>
                <w:bCs/>
                <w:color w:val="auto"/>
                <w:kern w:val="0"/>
                <w:sz w:val="22"/>
                <w:szCs w:val="22"/>
                <w:lang w:eastAsia="zh-CN" w:bidi="ar"/>
              </w:rPr>
              <w:t>评分：</w:t>
            </w:r>
          </w:p>
          <w:p w14:paraId="1157FFE7">
            <w:pPr>
              <w:widowControl/>
              <w:ind w:firstLine="420" w:firstLineChars="200"/>
              <w:jc w:val="left"/>
              <w:textAlignment w:val="center"/>
              <w:rPr>
                <w:rFonts w:hint="eastAsia" w:ascii="楷体" w:hAnsi="楷体" w:eastAsia="楷体" w:cs="楷体"/>
                <w:color w:val="auto"/>
                <w:highlight w:val="none"/>
                <w:lang w:val="en-US" w:eastAsia="zh-CN"/>
              </w:rPr>
            </w:pPr>
            <w:r>
              <w:rPr>
                <w:rFonts w:hint="eastAsia" w:ascii="楷体" w:hAnsi="楷体" w:eastAsia="楷体" w:cs="楷体"/>
                <w:color w:val="auto"/>
                <w:highlight w:val="none"/>
                <w:lang w:val="en-US" w:eastAsia="zh-CN"/>
              </w:rPr>
              <w:t>1.投标报价得分＝（评标基准价/投标报价）×价格分值（注：满足招标文件要求且投标价格最高的投标报价为评标基准价。）最高报价不是中标的唯一依据。【注：满足招标文件要求且“XXXX”报价最高（相当于投标价格最低）的为评标基准价。如：投标报价XXXX 60%为报价最高，评标基准价为 1-60%=40%，得满分；有投标报价为 50%，投标报价为 1-50%=50%；以此类推。】</w:t>
            </w:r>
          </w:p>
          <w:p w14:paraId="4FA3A9D6">
            <w:pPr>
              <w:widowControl/>
              <w:ind w:firstLine="420" w:firstLineChars="200"/>
              <w:jc w:val="left"/>
              <w:textAlignment w:val="center"/>
              <w:rPr>
                <w:rFonts w:hint="eastAsia" w:ascii="楷体" w:hAnsi="楷体" w:eastAsia="楷体" w:cs="楷体"/>
                <w:color w:val="auto"/>
              </w:rPr>
            </w:pPr>
            <w:r>
              <w:rPr>
                <w:rFonts w:hint="eastAsia" w:ascii="楷体" w:hAnsi="楷体" w:eastAsia="楷体" w:cs="楷体"/>
                <w:color w:val="auto"/>
                <w:highlight w:val="none"/>
                <w:lang w:val="en-US" w:eastAsia="zh-CN"/>
              </w:rPr>
              <w:t>2.项目投资额以行业主管部门或市发展和改革局批复的项目概算为准。</w:t>
            </w:r>
          </w:p>
        </w:tc>
        <w:tc>
          <w:tcPr>
            <w:tcW w:w="765" w:type="dxa"/>
            <w:tcMar>
              <w:top w:w="12" w:type="dxa"/>
              <w:left w:w="12" w:type="dxa"/>
              <w:right w:w="12" w:type="dxa"/>
            </w:tcMar>
            <w:vAlign w:val="center"/>
          </w:tcPr>
          <w:p w14:paraId="574597F0">
            <w:pPr>
              <w:widowControl/>
              <w:jc w:val="center"/>
              <w:textAlignment w:val="center"/>
              <w:rPr>
                <w:rFonts w:hint="eastAsia" w:ascii="楷体" w:hAnsi="楷体" w:eastAsia="楷体" w:cs="楷体"/>
                <w:color w:val="auto"/>
                <w:sz w:val="24"/>
                <w:szCs w:val="24"/>
              </w:rPr>
            </w:pPr>
          </w:p>
        </w:tc>
        <w:tc>
          <w:tcPr>
            <w:tcW w:w="699" w:type="dxa"/>
            <w:tcMar>
              <w:top w:w="12" w:type="dxa"/>
              <w:left w:w="12" w:type="dxa"/>
              <w:right w:w="12" w:type="dxa"/>
            </w:tcMar>
            <w:vAlign w:val="center"/>
          </w:tcPr>
          <w:p w14:paraId="030D4B92">
            <w:pPr>
              <w:widowControl/>
              <w:jc w:val="center"/>
              <w:textAlignment w:val="center"/>
              <w:rPr>
                <w:rFonts w:hint="eastAsia" w:ascii="楷体" w:hAnsi="楷体" w:eastAsia="楷体" w:cs="楷体"/>
                <w:color w:val="auto"/>
                <w:sz w:val="24"/>
                <w:szCs w:val="24"/>
              </w:rPr>
            </w:pPr>
          </w:p>
        </w:tc>
      </w:tr>
      <w:tr w14:paraId="061B6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34" w:hRule="atLeast"/>
          <w:jc w:val="center"/>
        </w:trPr>
        <w:tc>
          <w:tcPr>
            <w:tcW w:w="8840" w:type="dxa"/>
            <w:gridSpan w:val="5"/>
            <w:tcMar>
              <w:top w:w="12" w:type="dxa"/>
              <w:left w:w="12" w:type="dxa"/>
              <w:right w:w="12" w:type="dxa"/>
            </w:tcMar>
            <w:vAlign w:val="center"/>
          </w:tcPr>
          <w:p w14:paraId="1A337EC6">
            <w:pPr>
              <w:widowControl/>
              <w:jc w:val="left"/>
              <w:textAlignment w:val="center"/>
              <w:rPr>
                <w:rFonts w:hint="eastAsia" w:ascii="楷体" w:hAnsi="楷体" w:eastAsia="楷体" w:cs="楷体"/>
                <w:color w:val="auto"/>
                <w:kern w:val="0"/>
                <w:sz w:val="24"/>
                <w:szCs w:val="24"/>
                <w:lang w:bidi="ar"/>
              </w:rPr>
            </w:pPr>
            <w:r>
              <w:rPr>
                <w:rFonts w:hint="eastAsia" w:ascii="楷体" w:hAnsi="楷体" w:eastAsia="楷体" w:cs="楷体"/>
                <w:color w:val="auto"/>
                <w:kern w:val="0"/>
                <w:sz w:val="24"/>
                <w:szCs w:val="24"/>
                <w:lang w:bidi="ar"/>
              </w:rPr>
              <w:t>评分说明：</w:t>
            </w:r>
          </w:p>
          <w:p w14:paraId="657FF2F0">
            <w:pPr>
              <w:widowControl/>
              <w:ind w:firstLine="480" w:firstLineChars="200"/>
              <w:jc w:val="left"/>
              <w:textAlignment w:val="center"/>
              <w:rPr>
                <w:rFonts w:hint="eastAsia" w:ascii="楷体" w:hAnsi="楷体" w:eastAsia="楷体" w:cs="楷体"/>
                <w:color w:val="auto"/>
                <w:sz w:val="28"/>
                <w:szCs w:val="28"/>
              </w:rPr>
            </w:pPr>
            <w:r>
              <w:rPr>
                <w:rFonts w:hint="eastAsia" w:ascii="楷体" w:hAnsi="楷体" w:eastAsia="楷体" w:cs="楷体"/>
                <w:color w:val="auto"/>
                <w:kern w:val="0"/>
                <w:sz w:val="24"/>
                <w:szCs w:val="24"/>
                <w:lang w:eastAsia="zh-CN" w:bidi="ar"/>
              </w:rPr>
              <w:t>根据院内竞标细则，参加综合评标人员：</w:t>
            </w:r>
            <w:r>
              <w:rPr>
                <w:rFonts w:hint="eastAsia" w:ascii="楷体" w:hAnsi="楷体" w:eastAsia="楷体" w:cs="楷体"/>
                <w:color w:val="auto"/>
                <w:kern w:val="0"/>
                <w:sz w:val="24"/>
                <w:szCs w:val="24"/>
                <w:lang w:val="en-US" w:eastAsia="zh-CN" w:bidi="ar"/>
              </w:rPr>
              <w:t>各专业委员会随机抽取5人或财务科1人、使用科室2人、采购业务归口管理部门1人、采购业务归口管理部门分管领导。监督部门：纪检监察和审计科。原则上至少</w:t>
            </w:r>
            <w:r>
              <w:rPr>
                <w:rFonts w:hint="eastAsia" w:ascii="楷体" w:hAnsi="楷体" w:eastAsia="楷体" w:cs="楷体"/>
                <w:color w:val="auto"/>
                <w:kern w:val="0"/>
                <w:sz w:val="24"/>
                <w:szCs w:val="24"/>
                <w:lang w:bidi="ar"/>
              </w:rPr>
              <w:t>由</w:t>
            </w:r>
            <w:r>
              <w:rPr>
                <w:rFonts w:hint="eastAsia" w:ascii="楷体" w:hAnsi="楷体" w:eastAsia="楷体" w:cs="楷体"/>
                <w:color w:val="auto"/>
                <w:kern w:val="0"/>
                <w:sz w:val="24"/>
                <w:szCs w:val="24"/>
                <w:lang w:val="en-US" w:eastAsia="zh-CN" w:bidi="ar"/>
              </w:rPr>
              <w:t xml:space="preserve"> 5 </w:t>
            </w:r>
            <w:r>
              <w:rPr>
                <w:rFonts w:hint="eastAsia" w:ascii="楷体" w:hAnsi="楷体" w:eastAsia="楷体" w:cs="楷体"/>
                <w:color w:val="auto"/>
                <w:kern w:val="0"/>
                <w:sz w:val="24"/>
                <w:szCs w:val="24"/>
                <w:lang w:bidi="ar"/>
              </w:rPr>
              <w:t>人组成专家评分组，进行评分，去掉一个最高分，去掉一个最低分，取平均分。按得分由高到低顺序确定中标候选单位；得分相同的，按投标报价由低到高顺序确定中标候选单位；得分且投标报价相同的，按技术指标优劣顺序确定中标单位。</w:t>
            </w:r>
          </w:p>
        </w:tc>
      </w:tr>
    </w:tbl>
    <w:p w14:paraId="704955AA">
      <w:pPr>
        <w:spacing w:line="440" w:lineRule="exact"/>
        <w:rPr>
          <w:rFonts w:hint="eastAsia" w:ascii="楷体" w:hAnsi="楷体" w:eastAsia="楷体" w:cs="楷体"/>
          <w:bCs/>
          <w:spacing w:val="10"/>
          <w:sz w:val="24"/>
        </w:rPr>
      </w:pPr>
    </w:p>
    <w:p w14:paraId="5EC546BB">
      <w:pPr>
        <w:spacing w:line="440" w:lineRule="exact"/>
        <w:rPr>
          <w:rFonts w:hint="eastAsia" w:ascii="楷体" w:hAnsi="楷体" w:eastAsia="楷体" w:cs="楷体"/>
          <w:iCs/>
          <w:sz w:val="24"/>
        </w:rPr>
      </w:pPr>
      <w:r>
        <w:rPr>
          <w:rFonts w:hint="eastAsia" w:ascii="楷体" w:hAnsi="楷体" w:eastAsia="楷体" w:cs="楷体"/>
          <w:iCs/>
          <w:sz w:val="24"/>
          <w:lang w:eastAsia="zh-CN"/>
        </w:rPr>
        <w:t>备注</w:t>
      </w:r>
      <w:r>
        <w:rPr>
          <w:rFonts w:hint="eastAsia" w:ascii="楷体" w:hAnsi="楷体" w:eastAsia="楷体" w:cs="楷体"/>
          <w:iCs/>
          <w:sz w:val="24"/>
        </w:rPr>
        <w:t>：1</w:t>
      </w:r>
      <w:r>
        <w:rPr>
          <w:rFonts w:hint="eastAsia" w:ascii="楷体" w:hAnsi="楷体" w:eastAsia="楷体" w:cs="楷体"/>
          <w:iCs/>
          <w:sz w:val="24"/>
          <w:lang w:val="en-US" w:eastAsia="zh-CN"/>
        </w:rPr>
        <w:t>.</w:t>
      </w:r>
      <w:r>
        <w:rPr>
          <w:rFonts w:hint="eastAsia" w:ascii="楷体" w:hAnsi="楷体" w:eastAsia="楷体" w:cs="楷体"/>
          <w:iCs/>
          <w:sz w:val="24"/>
        </w:rPr>
        <w:t>以上表格由评委单独填写；</w:t>
      </w:r>
    </w:p>
    <w:p w14:paraId="41AB2035">
      <w:pPr>
        <w:numPr>
          <w:ilvl w:val="0"/>
          <w:numId w:val="1"/>
        </w:numPr>
        <w:spacing w:line="440" w:lineRule="exact"/>
        <w:rPr>
          <w:rFonts w:hint="eastAsia" w:ascii="楷体" w:hAnsi="楷体" w:eastAsia="楷体" w:cs="楷体"/>
          <w:iCs/>
          <w:sz w:val="24"/>
          <w:lang w:eastAsia="zh-CN"/>
        </w:rPr>
      </w:pPr>
      <w:r>
        <w:rPr>
          <w:rFonts w:hint="eastAsia" w:ascii="楷体" w:hAnsi="楷体" w:eastAsia="楷体" w:cs="楷体"/>
          <w:iCs/>
          <w:sz w:val="24"/>
        </w:rPr>
        <w:t>供应商最终得分为所有评委打分的算术平均值</w:t>
      </w:r>
      <w:r>
        <w:rPr>
          <w:rFonts w:hint="eastAsia" w:ascii="楷体" w:hAnsi="楷体" w:eastAsia="楷体" w:cs="楷体"/>
          <w:iCs/>
          <w:sz w:val="24"/>
          <w:lang w:eastAsia="zh-CN"/>
        </w:rPr>
        <w:t>。</w:t>
      </w:r>
    </w:p>
    <w:p w14:paraId="59A67367">
      <w:pPr>
        <w:pStyle w:val="2"/>
        <w:widowControl w:val="0"/>
        <w:numPr>
          <w:ilvl w:val="0"/>
          <w:numId w:val="0"/>
        </w:numPr>
        <w:jc w:val="both"/>
        <w:rPr>
          <w:rFonts w:hint="eastAsia"/>
          <w:lang w:eastAsia="zh-CN"/>
        </w:rPr>
      </w:pPr>
    </w:p>
    <w:p w14:paraId="5F463E72">
      <w:pPr>
        <w:rPr>
          <w:rFonts w:hint="default"/>
          <w:b/>
          <w:bCs/>
          <w:sz w:val="28"/>
          <w:szCs w:val="36"/>
          <w:lang w:val="en-US" w:eastAsia="zh-CN"/>
        </w:rPr>
      </w:pPr>
      <w:r>
        <w:rPr>
          <w:rFonts w:hint="eastAsia"/>
          <w:b/>
          <w:bCs/>
          <w:sz w:val="28"/>
          <w:szCs w:val="36"/>
          <w:lang w:val="en-US" w:eastAsia="zh-CN"/>
        </w:rPr>
        <w:t>审核人：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F7CA34"/>
    <w:multiLevelType w:val="singleLevel"/>
    <w:tmpl w:val="57F7CA34"/>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kYzQ2MzkxYzNlMmFlODI4MDY1MjNiZTE1NmRlNzMifQ=="/>
  </w:docVars>
  <w:rsids>
    <w:rsidRoot w:val="00045B40"/>
    <w:rsid w:val="00045B40"/>
    <w:rsid w:val="00264B74"/>
    <w:rsid w:val="00446696"/>
    <w:rsid w:val="00610486"/>
    <w:rsid w:val="00AE4848"/>
    <w:rsid w:val="00B4504C"/>
    <w:rsid w:val="00D31D52"/>
    <w:rsid w:val="010F5A16"/>
    <w:rsid w:val="032B371C"/>
    <w:rsid w:val="05E37589"/>
    <w:rsid w:val="07866751"/>
    <w:rsid w:val="09EF09C1"/>
    <w:rsid w:val="0A104C28"/>
    <w:rsid w:val="0A1E7C13"/>
    <w:rsid w:val="0B097861"/>
    <w:rsid w:val="0D2C0BA2"/>
    <w:rsid w:val="1350254A"/>
    <w:rsid w:val="169318EC"/>
    <w:rsid w:val="17D42DD1"/>
    <w:rsid w:val="1A9941A4"/>
    <w:rsid w:val="1ADC22EE"/>
    <w:rsid w:val="1B585CBB"/>
    <w:rsid w:val="1F825FD3"/>
    <w:rsid w:val="233F2F61"/>
    <w:rsid w:val="25936D00"/>
    <w:rsid w:val="2681564B"/>
    <w:rsid w:val="28E5380B"/>
    <w:rsid w:val="2AB236F8"/>
    <w:rsid w:val="31207512"/>
    <w:rsid w:val="328425C8"/>
    <w:rsid w:val="35FC6A17"/>
    <w:rsid w:val="368E3743"/>
    <w:rsid w:val="38646D95"/>
    <w:rsid w:val="3C890A0F"/>
    <w:rsid w:val="3DF078A5"/>
    <w:rsid w:val="3F004883"/>
    <w:rsid w:val="405148C0"/>
    <w:rsid w:val="40946C7F"/>
    <w:rsid w:val="42C615B8"/>
    <w:rsid w:val="42DD1659"/>
    <w:rsid w:val="443848CF"/>
    <w:rsid w:val="449A5B3A"/>
    <w:rsid w:val="4C2D7C8C"/>
    <w:rsid w:val="4C740DDC"/>
    <w:rsid w:val="4D2F45DE"/>
    <w:rsid w:val="509E200B"/>
    <w:rsid w:val="52CF14E8"/>
    <w:rsid w:val="53291BD1"/>
    <w:rsid w:val="53876131"/>
    <w:rsid w:val="54794F9F"/>
    <w:rsid w:val="551C5120"/>
    <w:rsid w:val="5A76335E"/>
    <w:rsid w:val="5B43157E"/>
    <w:rsid w:val="5C076A71"/>
    <w:rsid w:val="5EF601F8"/>
    <w:rsid w:val="60C32C03"/>
    <w:rsid w:val="648A46E4"/>
    <w:rsid w:val="64B13571"/>
    <w:rsid w:val="65211DBC"/>
    <w:rsid w:val="6B903CC3"/>
    <w:rsid w:val="6CC93498"/>
    <w:rsid w:val="6CE1553E"/>
    <w:rsid w:val="6D1D4C23"/>
    <w:rsid w:val="6E434AB9"/>
    <w:rsid w:val="6F392F8E"/>
    <w:rsid w:val="6F426839"/>
    <w:rsid w:val="72A8130B"/>
    <w:rsid w:val="74F730EE"/>
    <w:rsid w:val="75D845A5"/>
    <w:rsid w:val="7801696F"/>
    <w:rsid w:val="78D842FB"/>
    <w:rsid w:val="79030AAF"/>
    <w:rsid w:val="7C2E7F49"/>
    <w:rsid w:val="7D0C0A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8"/>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link w:val="7"/>
    <w:autoRedefine/>
    <w:qFormat/>
    <w:uiPriority w:val="0"/>
    <w:pPr>
      <w:keepNext/>
      <w:keepLines/>
      <w:spacing w:before="260" w:after="260" w:line="413" w:lineRule="auto"/>
      <w:ind w:firstLine="200" w:firstLineChars="200"/>
      <w:outlineLvl w:val="2"/>
    </w:pPr>
    <w:rPr>
      <w:bCs/>
      <w:kern w:val="0"/>
      <w:sz w:val="24"/>
      <w:szCs w:val="32"/>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next w:val="1"/>
    <w:autoRedefine/>
    <w:qFormat/>
    <w:uiPriority w:val="0"/>
    <w:pPr>
      <w:ind w:firstLine="420"/>
    </w:pPr>
    <w:rPr>
      <w:rFonts w:eastAsia="宋体"/>
      <w:kern w:val="2"/>
      <w:sz w:val="21"/>
      <w:lang w:val="en-US" w:eastAsia="zh-CN" w:bidi="ar-SA"/>
    </w:rPr>
  </w:style>
  <w:style w:type="character" w:styleId="6">
    <w:name w:val="Strong"/>
    <w:basedOn w:val="5"/>
    <w:autoRedefine/>
    <w:qFormat/>
    <w:uiPriority w:val="0"/>
    <w:rPr>
      <w:b/>
    </w:rPr>
  </w:style>
  <w:style w:type="character" w:customStyle="1" w:styleId="7">
    <w:name w:val="标题 3 Char"/>
    <w:basedOn w:val="5"/>
    <w:link w:val="3"/>
    <w:autoRedefine/>
    <w:qFormat/>
    <w:uiPriority w:val="0"/>
    <w:rPr>
      <w:rFonts w:ascii="Times New Roman" w:hAnsi="Times New Roman" w:eastAsia="宋体" w:cs="Times New Roman"/>
      <w:bCs/>
      <w:kern w:val="0"/>
      <w:sz w:val="24"/>
      <w:szCs w:val="32"/>
    </w:rPr>
  </w:style>
  <w:style w:type="character" w:customStyle="1" w:styleId="8">
    <w:name w:val="NormalCharacter"/>
    <w:link w:val="1"/>
    <w:autoRedefine/>
    <w:qFormat/>
    <w:uiPriority w:val="0"/>
    <w:rPr>
      <w:rFonts w:ascii="Times New Roman" w:hAnsi="Times New Roman" w:eastAsia="宋体" w:cs="Times New Roman"/>
      <w:kern w:val="2"/>
      <w:sz w:val="21"/>
      <w:szCs w:val="24"/>
      <w:lang w:val="en-US" w:eastAsia="zh-CN" w:bidi="ar-SA"/>
    </w:rPr>
  </w:style>
  <w:style w:type="paragraph" w:customStyle="1" w:styleId="9">
    <w:name w:val="Text"/>
    <w:autoRedefine/>
    <w:qFormat/>
    <w:uiPriority w:val="0"/>
    <w:pPr>
      <w:spacing w:line="315" w:lineRule="auto"/>
    </w:pPr>
    <w:rPr>
      <w:rFonts w:ascii="宋体" w:hAnsi="宋体" w:eastAsia="宋体" w:cs="宋体"/>
      <w:color w:val="000000"/>
      <w:sz w:val="21"/>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微软用户</Company>
  <Pages>3</Pages>
  <Words>2101</Words>
  <Characters>2221</Characters>
  <Lines>17</Lines>
  <Paragraphs>5</Paragraphs>
  <TotalTime>27</TotalTime>
  <ScaleCrop>false</ScaleCrop>
  <LinksUpToDate>false</LinksUpToDate>
  <CharactersWithSpaces>2260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2017-05-02T07:38:00Z</dcterms:created>
  <dc:creator>微软中国</dc:creator>
  <cp:lastModifiedBy>俊杰</cp:lastModifiedBy>
  <cp:lastPrinted>2025-04-24T07:16:00Z</cp:lastPrinted>
  <dcterms:modified xsi:type="dcterms:W3CDTF">2025-05-07T06:58:13Z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653AE05D24954CD4B2AC3897D26BDA96_13</vt:lpwstr>
  </property>
  <property fmtid="{D5CDD505-2E9C-101B-9397-08002B2CF9AE}" pid="4" name="KSOTemplateDocerSaveRecord">
    <vt:lpwstr>eyJoZGlkIjoiZDY4OTQzMDZiNDJiZjFiNGI3MTc0YTRkOGRmODNmNTUiLCJ1c2VySWQiOiIyMDQyMTMxMzUifQ==</vt:lpwstr>
  </property>
</Properties>
</file>