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F2AB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楷体" w:hAnsi="楷体" w:eastAsia="楷体" w:cs="楷体"/>
          <w:b/>
          <w:bCs/>
          <w:sz w:val="40"/>
          <w:szCs w:val="40"/>
          <w:highlight w:val="none"/>
          <w:lang w:val="en-US" w:eastAsia="zh-CN"/>
        </w:rPr>
      </w:pPr>
      <w:r>
        <w:rPr>
          <w:rFonts w:hint="eastAsia" w:ascii="楷体" w:hAnsi="楷体" w:eastAsia="楷体" w:cs="楷体"/>
          <w:b/>
          <w:bCs/>
          <w:sz w:val="40"/>
          <w:szCs w:val="40"/>
          <w:highlight w:val="none"/>
          <w:lang w:val="en-US" w:eastAsia="zh-CN"/>
        </w:rPr>
        <w:t>英德市人民医院1-5栋旧宿舍区、老旧挡土墙及山边护坡加固工程稳定性评估项目</w:t>
      </w:r>
    </w:p>
    <w:p w14:paraId="30E7B8E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楷体" w:hAnsi="楷体" w:eastAsia="楷体" w:cs="楷体"/>
          <w:b/>
          <w:bCs/>
          <w:sz w:val="22"/>
          <w:szCs w:val="28"/>
        </w:rPr>
      </w:pPr>
      <w:r>
        <w:rPr>
          <w:rFonts w:hint="eastAsia" w:ascii="楷体" w:hAnsi="楷体" w:eastAsia="楷体" w:cs="楷体"/>
          <w:b/>
          <w:bCs/>
          <w:sz w:val="40"/>
          <w:szCs w:val="40"/>
          <w:highlight w:val="none"/>
          <w:lang w:val="en-US" w:eastAsia="zh-CN"/>
        </w:rPr>
        <w:t>综合性评审方案</w:t>
      </w:r>
    </w:p>
    <w:p w14:paraId="19AB9DB4">
      <w:pPr>
        <w:keepNext w:val="0"/>
        <w:keepLines w:val="0"/>
        <w:pageBreakBefore w:val="0"/>
        <w:widowControl w:val="0"/>
        <w:kinsoku/>
        <w:wordWrap/>
        <w:overflowPunct/>
        <w:topLinePunct w:val="0"/>
        <w:autoSpaceDE/>
        <w:autoSpaceDN/>
        <w:bidi w:val="0"/>
        <w:adjustRightInd/>
        <w:snapToGrid/>
        <w:spacing w:after="157" w:afterLines="50" w:line="360" w:lineRule="auto"/>
        <w:ind w:firstLine="520" w:firstLineChars="200"/>
        <w:textAlignment w:val="auto"/>
        <w:rPr>
          <w:rFonts w:hint="eastAsia" w:ascii="楷体" w:hAnsi="楷体" w:eastAsia="楷体" w:cs="楷体"/>
          <w:color w:val="auto"/>
          <w:sz w:val="24"/>
          <w:szCs w:val="24"/>
          <w:lang w:val="en-US" w:eastAsia="zh-CN"/>
        </w:rPr>
      </w:pPr>
      <w:r>
        <w:rPr>
          <w:rFonts w:hint="eastAsia" w:ascii="楷体" w:hAnsi="楷体" w:eastAsia="楷体" w:cs="楷体"/>
          <w:bCs/>
          <w:color w:val="auto"/>
          <w:spacing w:val="10"/>
          <w:sz w:val="24"/>
          <w:szCs w:val="24"/>
          <w:lang w:val="en-US" w:eastAsia="zh-CN"/>
        </w:rPr>
        <w:t>评审说明：为尽快争取超长期国债和地方专项债券资金，启动英德市人民医院1-5栋旧宿舍区、老旧挡土墙及山边护坡加固工程、 根据《中华人民共和国政府采购法》、《中华人民共和国招标投标法》、《广东省政府集中采购目录及标准（2020年版）》和省市有关制度及医院采购管理规定结合院内竞标细则制定如下综合评标方式对公司进行遴选。如下表：</w:t>
      </w:r>
    </w:p>
    <w:tbl>
      <w:tblPr>
        <w:tblStyle w:val="8"/>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8"/>
        <w:gridCol w:w="882"/>
        <w:gridCol w:w="5336"/>
        <w:gridCol w:w="765"/>
        <w:gridCol w:w="699"/>
      </w:tblGrid>
      <w:tr w14:paraId="502A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8840" w:type="dxa"/>
            <w:gridSpan w:val="5"/>
            <w:tcMar>
              <w:top w:w="12" w:type="dxa"/>
              <w:left w:w="12" w:type="dxa"/>
              <w:right w:w="12" w:type="dxa"/>
            </w:tcMar>
            <w:vAlign w:val="center"/>
          </w:tcPr>
          <w:p w14:paraId="4625D51C">
            <w:pPr>
              <w:widowControl/>
              <w:jc w:val="left"/>
              <w:textAlignment w:val="center"/>
              <w:rPr>
                <w:rFonts w:hint="default" w:ascii="Times New Roman" w:hAnsi="Times New Roman" w:eastAsia="楷体" w:cs="Times New Roman"/>
                <w:b/>
                <w:color w:val="000000"/>
                <w:sz w:val="24"/>
                <w:szCs w:val="24"/>
              </w:rPr>
            </w:pPr>
            <w:r>
              <w:rPr>
                <w:rFonts w:hint="default" w:ascii="Times New Roman" w:hAnsi="Times New Roman" w:eastAsia="楷体" w:cs="Times New Roman"/>
                <w:b/>
                <w:color w:val="000000"/>
                <w:kern w:val="0"/>
                <w:sz w:val="24"/>
                <w:szCs w:val="24"/>
                <w:lang w:bidi="ar"/>
              </w:rPr>
              <w:t>竞标</w:t>
            </w:r>
            <w:r>
              <w:rPr>
                <w:rFonts w:hint="default" w:ascii="Times New Roman" w:hAnsi="Times New Roman" w:eastAsia="楷体" w:cs="Times New Roman"/>
                <w:b/>
                <w:color w:val="000000"/>
                <w:kern w:val="0"/>
                <w:sz w:val="24"/>
                <w:szCs w:val="24"/>
                <w:lang w:eastAsia="zh-CN" w:bidi="ar"/>
              </w:rPr>
              <w:t>公司</w:t>
            </w:r>
            <w:r>
              <w:rPr>
                <w:rFonts w:hint="default" w:ascii="Times New Roman" w:hAnsi="Times New Roman" w:eastAsia="楷体" w:cs="Times New Roman"/>
                <w:b/>
                <w:color w:val="000000"/>
                <w:kern w:val="0"/>
                <w:sz w:val="24"/>
                <w:szCs w:val="24"/>
                <w:lang w:bidi="ar"/>
              </w:rPr>
              <w:t>：</w:t>
            </w:r>
          </w:p>
        </w:tc>
      </w:tr>
      <w:tr w14:paraId="72AB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jc w:val="center"/>
        </w:trPr>
        <w:tc>
          <w:tcPr>
            <w:tcW w:w="8840" w:type="dxa"/>
            <w:gridSpan w:val="5"/>
            <w:tcMar>
              <w:top w:w="12" w:type="dxa"/>
              <w:left w:w="12" w:type="dxa"/>
              <w:right w:w="12" w:type="dxa"/>
            </w:tcMar>
            <w:vAlign w:val="center"/>
          </w:tcPr>
          <w:p w14:paraId="641190C1">
            <w:pPr>
              <w:widowControl/>
              <w:jc w:val="left"/>
              <w:textAlignment w:val="center"/>
              <w:rPr>
                <w:rFonts w:hint="default" w:ascii="Times New Roman" w:hAnsi="Times New Roman" w:eastAsia="楷体" w:cs="Times New Roman"/>
                <w:b/>
                <w:color w:val="000000"/>
                <w:kern w:val="0"/>
                <w:sz w:val="24"/>
                <w:szCs w:val="24"/>
                <w:lang w:val="en-US" w:eastAsia="zh-CN" w:bidi="ar"/>
              </w:rPr>
            </w:pPr>
            <w:r>
              <w:rPr>
                <w:rFonts w:hint="default" w:ascii="Times New Roman" w:hAnsi="Times New Roman" w:eastAsia="楷体" w:cs="Times New Roman"/>
                <w:b/>
                <w:color w:val="000000"/>
                <w:kern w:val="0"/>
                <w:sz w:val="24"/>
                <w:szCs w:val="24"/>
                <w:lang w:eastAsia="zh-CN" w:bidi="ar"/>
              </w:rPr>
              <w:t>评分人签名：</w:t>
            </w:r>
            <w:r>
              <w:rPr>
                <w:rFonts w:hint="default" w:ascii="Times New Roman" w:hAnsi="Times New Roman" w:eastAsia="楷体" w:cs="Times New Roman"/>
                <w:b/>
                <w:color w:val="000000"/>
                <w:kern w:val="0"/>
                <w:sz w:val="24"/>
                <w:szCs w:val="24"/>
                <w:lang w:val="en-US" w:eastAsia="zh-CN" w:bidi="ar"/>
              </w:rPr>
              <w:t xml:space="preserve">                  </w:t>
            </w:r>
            <w:r>
              <w:rPr>
                <w:rFonts w:hint="default" w:ascii="Times New Roman" w:hAnsi="Times New Roman" w:eastAsia="楷体" w:cs="Times New Roman"/>
                <w:b/>
                <w:color w:val="000000"/>
                <w:kern w:val="0"/>
                <w:sz w:val="24"/>
                <w:szCs w:val="24"/>
                <w:lang w:bidi="ar"/>
              </w:rPr>
              <w:t>评分</w:t>
            </w:r>
            <w:r>
              <w:rPr>
                <w:rFonts w:hint="default" w:ascii="Times New Roman" w:hAnsi="Times New Roman" w:eastAsia="楷体" w:cs="Times New Roman"/>
                <w:b/>
                <w:color w:val="000000"/>
                <w:kern w:val="0"/>
                <w:sz w:val="24"/>
                <w:szCs w:val="24"/>
                <w:lang w:eastAsia="zh-CN" w:bidi="ar"/>
              </w:rPr>
              <w:t>日期</w:t>
            </w:r>
            <w:r>
              <w:rPr>
                <w:rFonts w:hint="default" w:ascii="Times New Roman" w:hAnsi="Times New Roman" w:eastAsia="楷体" w:cs="Times New Roman"/>
                <w:b/>
                <w:color w:val="000000"/>
                <w:kern w:val="0"/>
                <w:sz w:val="24"/>
                <w:szCs w:val="24"/>
                <w:lang w:bidi="ar"/>
              </w:rPr>
              <w:t>：</w:t>
            </w:r>
            <w:r>
              <w:rPr>
                <w:rFonts w:hint="default" w:ascii="Times New Roman" w:hAnsi="Times New Roman" w:eastAsia="楷体" w:cs="Times New Roman"/>
                <w:b/>
                <w:color w:val="000000"/>
                <w:kern w:val="0"/>
                <w:sz w:val="24"/>
                <w:szCs w:val="24"/>
                <w:lang w:val="en-US" w:eastAsia="zh-CN" w:bidi="ar"/>
              </w:rPr>
              <w:t xml:space="preserve">             评分合计：</w:t>
            </w:r>
          </w:p>
        </w:tc>
      </w:tr>
      <w:tr w14:paraId="6B68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58" w:type="dxa"/>
            <w:tcMar>
              <w:top w:w="12" w:type="dxa"/>
              <w:left w:w="12" w:type="dxa"/>
              <w:right w:w="12" w:type="dxa"/>
            </w:tcMar>
            <w:vAlign w:val="center"/>
          </w:tcPr>
          <w:p w14:paraId="0D42A0AC">
            <w:pPr>
              <w:widowControl/>
              <w:jc w:val="center"/>
              <w:textAlignment w:val="center"/>
              <w:rPr>
                <w:rFonts w:hint="default" w:ascii="Times New Roman" w:hAnsi="Times New Roman" w:eastAsia="楷体" w:cs="Times New Roman"/>
                <w:b/>
                <w:color w:val="000000"/>
                <w:sz w:val="24"/>
                <w:szCs w:val="24"/>
              </w:rPr>
            </w:pPr>
            <w:r>
              <w:rPr>
                <w:rFonts w:hint="default" w:ascii="Times New Roman" w:hAnsi="Times New Roman" w:eastAsia="楷体" w:cs="Times New Roman"/>
                <w:b/>
                <w:color w:val="000000"/>
                <w:kern w:val="0"/>
                <w:sz w:val="24"/>
                <w:szCs w:val="24"/>
                <w:lang w:bidi="ar"/>
              </w:rPr>
              <w:t>评审项目</w:t>
            </w:r>
          </w:p>
        </w:tc>
        <w:tc>
          <w:tcPr>
            <w:tcW w:w="882" w:type="dxa"/>
            <w:tcMar>
              <w:top w:w="12" w:type="dxa"/>
              <w:left w:w="12" w:type="dxa"/>
              <w:right w:w="12" w:type="dxa"/>
            </w:tcMar>
            <w:vAlign w:val="center"/>
          </w:tcPr>
          <w:p w14:paraId="4554DFFE">
            <w:pPr>
              <w:widowControl/>
              <w:jc w:val="center"/>
              <w:textAlignment w:val="center"/>
              <w:rPr>
                <w:rFonts w:hint="default" w:ascii="Times New Roman" w:hAnsi="Times New Roman" w:eastAsia="楷体" w:cs="Times New Roman"/>
                <w:b/>
                <w:color w:val="000000"/>
                <w:sz w:val="24"/>
                <w:szCs w:val="24"/>
              </w:rPr>
            </w:pPr>
            <w:r>
              <w:rPr>
                <w:rFonts w:hint="default" w:ascii="Times New Roman" w:hAnsi="Times New Roman" w:eastAsia="楷体" w:cs="Times New Roman"/>
                <w:b/>
                <w:color w:val="000000"/>
                <w:kern w:val="0"/>
                <w:sz w:val="24"/>
                <w:szCs w:val="24"/>
                <w:lang w:bidi="ar"/>
              </w:rPr>
              <w:t>标准分</w:t>
            </w:r>
          </w:p>
        </w:tc>
        <w:tc>
          <w:tcPr>
            <w:tcW w:w="5336" w:type="dxa"/>
            <w:tcMar>
              <w:top w:w="12" w:type="dxa"/>
              <w:left w:w="12" w:type="dxa"/>
              <w:right w:w="12" w:type="dxa"/>
            </w:tcMar>
            <w:vAlign w:val="center"/>
          </w:tcPr>
          <w:p w14:paraId="2B441193">
            <w:pPr>
              <w:widowControl/>
              <w:jc w:val="center"/>
              <w:textAlignment w:val="center"/>
              <w:rPr>
                <w:rFonts w:hint="default" w:ascii="Times New Roman" w:hAnsi="Times New Roman" w:eastAsia="楷体" w:cs="Times New Roman"/>
                <w:b/>
                <w:color w:val="000000"/>
                <w:sz w:val="24"/>
                <w:szCs w:val="24"/>
              </w:rPr>
            </w:pPr>
            <w:r>
              <w:rPr>
                <w:rFonts w:hint="default" w:ascii="Times New Roman" w:hAnsi="Times New Roman" w:eastAsia="楷体" w:cs="Times New Roman"/>
                <w:b/>
                <w:color w:val="000000"/>
                <w:kern w:val="0"/>
                <w:sz w:val="24"/>
                <w:szCs w:val="24"/>
                <w:lang w:bidi="ar"/>
              </w:rPr>
              <w:t>评审分项</w:t>
            </w:r>
          </w:p>
        </w:tc>
        <w:tc>
          <w:tcPr>
            <w:tcW w:w="765" w:type="dxa"/>
            <w:tcMar>
              <w:top w:w="12" w:type="dxa"/>
              <w:left w:w="12" w:type="dxa"/>
              <w:right w:w="12" w:type="dxa"/>
            </w:tcMar>
            <w:vAlign w:val="center"/>
          </w:tcPr>
          <w:p w14:paraId="1EF445DB">
            <w:pPr>
              <w:widowControl/>
              <w:jc w:val="center"/>
              <w:textAlignment w:val="center"/>
              <w:rPr>
                <w:rFonts w:hint="default" w:ascii="Times New Roman" w:hAnsi="Times New Roman" w:eastAsia="楷体" w:cs="Times New Roman"/>
                <w:b/>
                <w:color w:val="000000"/>
                <w:sz w:val="24"/>
                <w:szCs w:val="24"/>
              </w:rPr>
            </w:pPr>
            <w:r>
              <w:rPr>
                <w:rFonts w:hint="default" w:ascii="Times New Roman" w:hAnsi="Times New Roman" w:eastAsia="楷体" w:cs="Times New Roman"/>
                <w:b/>
                <w:color w:val="000000"/>
                <w:kern w:val="0"/>
                <w:sz w:val="24"/>
                <w:szCs w:val="24"/>
                <w:lang w:bidi="ar"/>
              </w:rPr>
              <w:t>得分</w:t>
            </w:r>
          </w:p>
        </w:tc>
        <w:tc>
          <w:tcPr>
            <w:tcW w:w="699" w:type="dxa"/>
            <w:tcMar>
              <w:top w:w="12" w:type="dxa"/>
              <w:left w:w="12" w:type="dxa"/>
              <w:right w:w="12" w:type="dxa"/>
            </w:tcMar>
            <w:vAlign w:val="center"/>
          </w:tcPr>
          <w:p w14:paraId="79640E1A">
            <w:pPr>
              <w:widowControl/>
              <w:jc w:val="center"/>
              <w:textAlignment w:val="center"/>
              <w:rPr>
                <w:rFonts w:hint="default" w:ascii="Times New Roman" w:hAnsi="Times New Roman" w:eastAsia="楷体" w:cs="Times New Roman"/>
                <w:b/>
                <w:color w:val="000000"/>
                <w:sz w:val="24"/>
                <w:szCs w:val="24"/>
              </w:rPr>
            </w:pPr>
            <w:r>
              <w:rPr>
                <w:rFonts w:hint="default" w:ascii="Times New Roman" w:hAnsi="Times New Roman" w:eastAsia="楷体" w:cs="Times New Roman"/>
                <w:b/>
                <w:color w:val="000000"/>
                <w:kern w:val="0"/>
                <w:sz w:val="24"/>
                <w:szCs w:val="24"/>
                <w:lang w:bidi="ar"/>
              </w:rPr>
              <w:t>备注</w:t>
            </w:r>
          </w:p>
        </w:tc>
      </w:tr>
      <w:tr w14:paraId="3451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158" w:type="dxa"/>
            <w:vMerge w:val="restart"/>
            <w:tcMar>
              <w:top w:w="12" w:type="dxa"/>
              <w:left w:w="12" w:type="dxa"/>
              <w:right w:w="12" w:type="dxa"/>
            </w:tcMar>
            <w:vAlign w:val="center"/>
          </w:tcPr>
          <w:p w14:paraId="3CD6CD14">
            <w:pPr>
              <w:widowControl/>
              <w:jc w:val="left"/>
              <w:textAlignment w:val="center"/>
              <w:rPr>
                <w:rFonts w:hint="default" w:ascii="Times New Roman" w:hAnsi="Times New Roman" w:eastAsia="楷体" w:cs="Times New Roman"/>
                <w:color w:val="000000"/>
                <w:kern w:val="0"/>
                <w:sz w:val="24"/>
                <w:szCs w:val="24"/>
                <w:lang w:eastAsia="zh-CN" w:bidi="ar"/>
              </w:rPr>
            </w:pPr>
            <w:r>
              <w:rPr>
                <w:rFonts w:hint="eastAsia" w:eastAsia="楷体" w:cs="Times New Roman"/>
                <w:color w:val="000000"/>
                <w:kern w:val="0"/>
                <w:sz w:val="24"/>
                <w:szCs w:val="24"/>
                <w:lang w:val="en-US" w:eastAsia="zh-CN" w:bidi="ar"/>
              </w:rPr>
              <w:t>商务</w:t>
            </w:r>
            <w:r>
              <w:rPr>
                <w:rFonts w:hint="default" w:ascii="Times New Roman" w:hAnsi="Times New Roman" w:eastAsia="楷体" w:cs="Times New Roman"/>
                <w:color w:val="000000"/>
                <w:kern w:val="0"/>
                <w:sz w:val="24"/>
                <w:szCs w:val="24"/>
                <w:lang w:eastAsia="zh-CN" w:bidi="ar"/>
              </w:rPr>
              <w:t>部分</w:t>
            </w:r>
          </w:p>
          <w:p w14:paraId="2BE35B56">
            <w:pPr>
              <w:widowControl/>
              <w:ind w:firstLine="480" w:firstLineChars="200"/>
              <w:jc w:val="left"/>
              <w:textAlignment w:val="center"/>
              <w:rPr>
                <w:rFonts w:hint="default" w:ascii="Times New Roman" w:hAnsi="Times New Roman" w:eastAsia="楷体" w:cs="Times New Roman"/>
                <w:color w:val="000000"/>
                <w:kern w:val="0"/>
                <w:sz w:val="24"/>
                <w:szCs w:val="24"/>
                <w:lang w:eastAsia="zh-CN" w:bidi="ar"/>
              </w:rPr>
            </w:pPr>
            <w:r>
              <w:rPr>
                <w:rFonts w:hint="default" w:ascii="Times New Roman" w:hAnsi="Times New Roman" w:eastAsia="楷体" w:cs="Times New Roman"/>
                <w:color w:val="000000"/>
                <w:kern w:val="0"/>
                <w:sz w:val="24"/>
                <w:szCs w:val="24"/>
                <w:lang w:eastAsia="zh-CN" w:bidi="ar"/>
              </w:rPr>
              <w:t>（</w:t>
            </w:r>
            <w:r>
              <w:rPr>
                <w:rFonts w:hint="eastAsia" w:eastAsia="楷体" w:cs="Times New Roman"/>
                <w:color w:val="000000"/>
                <w:kern w:val="0"/>
                <w:sz w:val="24"/>
                <w:szCs w:val="24"/>
                <w:lang w:val="en-US" w:eastAsia="zh-CN" w:bidi="ar"/>
              </w:rPr>
              <w:t>3</w:t>
            </w:r>
            <w:r>
              <w:rPr>
                <w:rFonts w:hint="default" w:ascii="Times New Roman" w:hAnsi="Times New Roman" w:eastAsia="楷体" w:cs="Times New Roman"/>
                <w:color w:val="000000"/>
                <w:kern w:val="0"/>
                <w:sz w:val="24"/>
                <w:szCs w:val="24"/>
                <w:lang w:val="en-US" w:eastAsia="zh-CN" w:bidi="ar"/>
              </w:rPr>
              <w:t>0分</w:t>
            </w:r>
            <w:r>
              <w:rPr>
                <w:rFonts w:hint="default" w:ascii="Times New Roman" w:hAnsi="Times New Roman" w:eastAsia="楷体" w:cs="Times New Roman"/>
                <w:color w:val="000000"/>
                <w:kern w:val="0"/>
                <w:sz w:val="24"/>
                <w:szCs w:val="24"/>
                <w:lang w:eastAsia="zh-CN" w:bidi="ar"/>
              </w:rPr>
              <w:t>）</w:t>
            </w:r>
          </w:p>
        </w:tc>
        <w:tc>
          <w:tcPr>
            <w:tcW w:w="882" w:type="dxa"/>
            <w:tcMar>
              <w:top w:w="12" w:type="dxa"/>
              <w:left w:w="12" w:type="dxa"/>
              <w:right w:w="12" w:type="dxa"/>
            </w:tcMar>
            <w:vAlign w:val="center"/>
          </w:tcPr>
          <w:p w14:paraId="0D6D85EE">
            <w:pPr>
              <w:widowControl/>
              <w:ind w:firstLine="480" w:firstLineChars="200"/>
              <w:jc w:val="left"/>
              <w:textAlignment w:val="center"/>
              <w:rPr>
                <w:rFonts w:hint="default" w:ascii="Times New Roman" w:hAnsi="Times New Roman" w:eastAsia="楷体" w:cs="Times New Roman"/>
                <w:color w:val="000000"/>
                <w:kern w:val="0"/>
                <w:sz w:val="24"/>
                <w:szCs w:val="24"/>
                <w:lang w:val="en-US" w:eastAsia="zh-CN" w:bidi="ar"/>
              </w:rPr>
            </w:pPr>
            <w:r>
              <w:rPr>
                <w:rFonts w:hint="eastAsia" w:eastAsia="楷体" w:cs="Times New Roman"/>
                <w:color w:val="000000"/>
                <w:kern w:val="0"/>
                <w:sz w:val="24"/>
                <w:szCs w:val="24"/>
                <w:lang w:val="en-US" w:eastAsia="zh-CN" w:bidi="ar"/>
              </w:rPr>
              <w:t>10</w:t>
            </w:r>
          </w:p>
        </w:tc>
        <w:tc>
          <w:tcPr>
            <w:tcW w:w="5336" w:type="dxa"/>
            <w:tcMar>
              <w:top w:w="12" w:type="dxa"/>
              <w:left w:w="12" w:type="dxa"/>
              <w:right w:w="12" w:type="dxa"/>
            </w:tcMar>
            <w:vAlign w:val="center"/>
          </w:tcPr>
          <w:p w14:paraId="64AC24A2">
            <w:pPr>
              <w:pStyle w:val="7"/>
              <w:keepNext w:val="0"/>
              <w:keepLines w:val="0"/>
              <w:widowControl/>
              <w:suppressLineNumbers w:val="0"/>
              <w:spacing w:before="0" w:beforeAutospacing="0" w:after="0" w:afterAutospacing="0"/>
              <w:ind w:left="0" w:right="0"/>
              <w:jc w:val="left"/>
              <w:rPr>
                <w:rFonts w:ascii="等线" w:hAnsi="等线" w:eastAsia="等线" w:cs="等线"/>
                <w:sz w:val="24"/>
                <w:szCs w:val="24"/>
              </w:rPr>
            </w:pPr>
            <w:r>
              <w:rPr>
                <w:rFonts w:ascii="楷体" w:hAnsi="楷体" w:eastAsia="楷体" w:cs="楷体"/>
                <w:b/>
                <w:bCs/>
                <w:i w:val="0"/>
                <w:iCs w:val="0"/>
                <w:caps w:val="0"/>
                <w:color w:val="000000"/>
                <w:spacing w:val="0"/>
                <w:sz w:val="24"/>
                <w:szCs w:val="24"/>
                <w:vertAlign w:val="baseline"/>
              </w:rPr>
              <w:t>公司情况：</w:t>
            </w:r>
          </w:p>
          <w:p w14:paraId="2F2137E2">
            <w:pPr>
              <w:pStyle w:val="7"/>
              <w:keepNext w:val="0"/>
              <w:keepLines w:val="0"/>
              <w:widowControl/>
              <w:suppressLineNumbers w:val="0"/>
              <w:spacing w:before="0" w:beforeAutospacing="0" w:after="0" w:afterAutospacing="0"/>
              <w:ind w:left="0" w:right="0" w:firstLine="420"/>
              <w:jc w:val="left"/>
              <w:rPr>
                <w:rFonts w:hint="eastAsia" w:ascii="等线" w:hAnsi="等线" w:eastAsia="等线" w:cs="等线"/>
                <w:sz w:val="24"/>
                <w:szCs w:val="24"/>
              </w:rPr>
            </w:pPr>
            <w:r>
              <w:rPr>
                <w:rFonts w:hint="eastAsia" w:ascii="楷体" w:hAnsi="楷体" w:eastAsia="楷体" w:cs="楷体"/>
                <w:b w:val="0"/>
                <w:bCs w:val="0"/>
                <w:i w:val="0"/>
                <w:iCs w:val="0"/>
                <w:caps w:val="0"/>
                <w:color w:val="000000"/>
                <w:spacing w:val="0"/>
                <w:sz w:val="24"/>
                <w:szCs w:val="24"/>
                <w:vertAlign w:val="baseline"/>
              </w:rPr>
              <w:t>投标人取得有效的IS0质量管理体系认证、环境管理体系认证、职业健康安全管理体系认证，取得一个认证得3分，取得</w:t>
            </w:r>
            <w:r>
              <w:rPr>
                <w:rFonts w:hint="eastAsia" w:ascii="楷体" w:hAnsi="楷体" w:eastAsia="楷体" w:cs="楷体"/>
                <w:b w:val="0"/>
                <w:bCs w:val="0"/>
                <w:i w:val="0"/>
                <w:iCs w:val="0"/>
                <w:caps w:val="0"/>
                <w:color w:val="000000"/>
                <w:spacing w:val="0"/>
                <w:sz w:val="24"/>
                <w:szCs w:val="24"/>
                <w:vertAlign w:val="baseline"/>
                <w:lang w:val="en-US" w:eastAsia="zh-CN"/>
              </w:rPr>
              <w:t>二</w:t>
            </w:r>
            <w:r>
              <w:rPr>
                <w:rFonts w:hint="eastAsia" w:ascii="楷体" w:hAnsi="楷体" w:eastAsia="楷体" w:cs="楷体"/>
                <w:b w:val="0"/>
                <w:bCs w:val="0"/>
                <w:i w:val="0"/>
                <w:iCs w:val="0"/>
                <w:caps w:val="0"/>
                <w:color w:val="000000"/>
                <w:spacing w:val="0"/>
                <w:sz w:val="24"/>
                <w:szCs w:val="24"/>
                <w:vertAlign w:val="baseline"/>
              </w:rPr>
              <w:t>个认证得</w:t>
            </w:r>
            <w:r>
              <w:rPr>
                <w:rFonts w:hint="eastAsia" w:ascii="楷体" w:hAnsi="楷体" w:eastAsia="楷体" w:cs="楷体"/>
                <w:b w:val="0"/>
                <w:bCs w:val="0"/>
                <w:i w:val="0"/>
                <w:iCs w:val="0"/>
                <w:caps w:val="0"/>
                <w:color w:val="000000"/>
                <w:spacing w:val="0"/>
                <w:sz w:val="24"/>
                <w:szCs w:val="24"/>
                <w:vertAlign w:val="baseline"/>
                <w:lang w:val="en-US" w:eastAsia="zh-CN"/>
              </w:rPr>
              <w:t>6</w:t>
            </w:r>
            <w:r>
              <w:rPr>
                <w:rFonts w:hint="eastAsia" w:ascii="楷体" w:hAnsi="楷体" w:eastAsia="楷体" w:cs="楷体"/>
                <w:b w:val="0"/>
                <w:bCs w:val="0"/>
                <w:i w:val="0"/>
                <w:iCs w:val="0"/>
                <w:caps w:val="0"/>
                <w:color w:val="000000"/>
                <w:spacing w:val="0"/>
                <w:sz w:val="24"/>
                <w:szCs w:val="24"/>
                <w:vertAlign w:val="baseline"/>
              </w:rPr>
              <w:t>分</w:t>
            </w:r>
            <w:r>
              <w:rPr>
                <w:rFonts w:hint="eastAsia" w:ascii="楷体" w:hAnsi="楷体" w:eastAsia="楷体" w:cs="楷体"/>
                <w:b w:val="0"/>
                <w:bCs w:val="0"/>
                <w:i w:val="0"/>
                <w:iCs w:val="0"/>
                <w:caps w:val="0"/>
                <w:color w:val="000000"/>
                <w:spacing w:val="0"/>
                <w:sz w:val="24"/>
                <w:szCs w:val="24"/>
                <w:vertAlign w:val="baseline"/>
                <w:lang w:eastAsia="zh-CN"/>
              </w:rPr>
              <w:t>，</w:t>
            </w:r>
            <w:r>
              <w:rPr>
                <w:rFonts w:hint="eastAsia" w:ascii="楷体" w:hAnsi="楷体" w:eastAsia="楷体" w:cs="楷体"/>
                <w:b w:val="0"/>
                <w:bCs w:val="0"/>
                <w:i w:val="0"/>
                <w:iCs w:val="0"/>
                <w:caps w:val="0"/>
                <w:color w:val="000000"/>
                <w:spacing w:val="0"/>
                <w:sz w:val="24"/>
                <w:szCs w:val="24"/>
                <w:vertAlign w:val="baseline"/>
                <w:lang w:val="en-US" w:eastAsia="zh-CN"/>
              </w:rPr>
              <w:t>同时取得三个认证得10分，</w:t>
            </w:r>
            <w:r>
              <w:rPr>
                <w:rFonts w:hint="eastAsia" w:ascii="楷体" w:hAnsi="楷体" w:eastAsia="楷体" w:cs="楷体"/>
                <w:b w:val="0"/>
                <w:bCs w:val="0"/>
                <w:i w:val="0"/>
                <w:iCs w:val="0"/>
                <w:caps w:val="0"/>
                <w:color w:val="000000"/>
                <w:spacing w:val="0"/>
                <w:sz w:val="24"/>
                <w:szCs w:val="24"/>
                <w:vertAlign w:val="baseline"/>
              </w:rPr>
              <w:t>本项最高得</w:t>
            </w:r>
            <w:r>
              <w:rPr>
                <w:rFonts w:hint="eastAsia" w:ascii="楷体" w:hAnsi="楷体" w:eastAsia="楷体" w:cs="楷体"/>
                <w:b w:val="0"/>
                <w:bCs w:val="0"/>
                <w:i w:val="0"/>
                <w:iCs w:val="0"/>
                <w:caps w:val="0"/>
                <w:color w:val="000000"/>
                <w:spacing w:val="0"/>
                <w:sz w:val="24"/>
                <w:szCs w:val="24"/>
                <w:vertAlign w:val="baseline"/>
                <w:lang w:val="en-US" w:eastAsia="zh-CN"/>
              </w:rPr>
              <w:t>10</w:t>
            </w:r>
            <w:r>
              <w:rPr>
                <w:rFonts w:hint="eastAsia" w:ascii="楷体" w:hAnsi="楷体" w:eastAsia="楷体" w:cs="楷体"/>
                <w:b w:val="0"/>
                <w:bCs w:val="0"/>
                <w:i w:val="0"/>
                <w:iCs w:val="0"/>
                <w:caps w:val="0"/>
                <w:color w:val="000000"/>
                <w:spacing w:val="0"/>
                <w:sz w:val="24"/>
                <w:szCs w:val="24"/>
                <w:vertAlign w:val="baseline"/>
              </w:rPr>
              <w:t>分。(提供相关证书复印件加盖公章)。</w:t>
            </w:r>
          </w:p>
          <w:p w14:paraId="7C16E922">
            <w:pPr>
              <w:widowControl/>
              <w:ind w:firstLine="480" w:firstLineChars="200"/>
              <w:jc w:val="left"/>
              <w:textAlignment w:val="center"/>
              <w:rPr>
                <w:rFonts w:hint="default" w:ascii="Times New Roman" w:hAnsi="Times New Roman" w:eastAsia="楷体" w:cs="Times New Roman"/>
                <w:color w:val="000000"/>
                <w:kern w:val="0"/>
                <w:sz w:val="24"/>
                <w:szCs w:val="24"/>
                <w:lang w:eastAsia="zh-CN" w:bidi="ar"/>
              </w:rPr>
            </w:pPr>
          </w:p>
        </w:tc>
        <w:tc>
          <w:tcPr>
            <w:tcW w:w="765" w:type="dxa"/>
            <w:tcMar>
              <w:top w:w="12" w:type="dxa"/>
              <w:left w:w="12" w:type="dxa"/>
              <w:right w:w="12" w:type="dxa"/>
            </w:tcMar>
            <w:vAlign w:val="center"/>
          </w:tcPr>
          <w:p w14:paraId="137373DC">
            <w:pPr>
              <w:widowControl/>
              <w:jc w:val="center"/>
              <w:textAlignment w:val="center"/>
              <w:rPr>
                <w:rFonts w:hint="default" w:ascii="Times New Roman" w:hAnsi="Times New Roman" w:eastAsia="宋体" w:cs="Times New Roman"/>
                <w:color w:val="000000"/>
                <w:sz w:val="21"/>
                <w:szCs w:val="21"/>
              </w:rPr>
            </w:pPr>
          </w:p>
        </w:tc>
        <w:tc>
          <w:tcPr>
            <w:tcW w:w="699" w:type="dxa"/>
            <w:tcMar>
              <w:top w:w="12" w:type="dxa"/>
              <w:left w:w="12" w:type="dxa"/>
              <w:right w:w="12" w:type="dxa"/>
            </w:tcMar>
            <w:vAlign w:val="center"/>
          </w:tcPr>
          <w:p w14:paraId="59BF995E">
            <w:pPr>
              <w:widowControl/>
              <w:jc w:val="center"/>
              <w:textAlignment w:val="center"/>
              <w:rPr>
                <w:rFonts w:hint="default" w:ascii="Times New Roman" w:hAnsi="Times New Roman" w:eastAsia="宋体" w:cs="Times New Roman"/>
                <w:color w:val="000000"/>
                <w:sz w:val="21"/>
                <w:szCs w:val="21"/>
              </w:rPr>
            </w:pPr>
          </w:p>
        </w:tc>
      </w:tr>
      <w:tr w14:paraId="54B1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4" w:hRule="atLeast"/>
          <w:jc w:val="center"/>
        </w:trPr>
        <w:tc>
          <w:tcPr>
            <w:tcW w:w="1158" w:type="dxa"/>
            <w:vMerge w:val="continue"/>
            <w:tcMar>
              <w:top w:w="12" w:type="dxa"/>
              <w:left w:w="12" w:type="dxa"/>
              <w:right w:w="12" w:type="dxa"/>
            </w:tcMar>
            <w:vAlign w:val="center"/>
          </w:tcPr>
          <w:p w14:paraId="14E71280">
            <w:pPr>
              <w:widowControl/>
              <w:ind w:firstLine="480" w:firstLineChars="200"/>
              <w:jc w:val="left"/>
              <w:textAlignment w:val="center"/>
              <w:rPr>
                <w:rFonts w:hint="default" w:ascii="Times New Roman" w:hAnsi="Times New Roman" w:eastAsia="楷体" w:cs="Times New Roman"/>
                <w:color w:val="000000"/>
                <w:kern w:val="0"/>
                <w:sz w:val="24"/>
                <w:szCs w:val="24"/>
                <w:lang w:eastAsia="zh-CN" w:bidi="ar"/>
              </w:rPr>
            </w:pPr>
          </w:p>
        </w:tc>
        <w:tc>
          <w:tcPr>
            <w:tcW w:w="882" w:type="dxa"/>
            <w:tcMar>
              <w:top w:w="12" w:type="dxa"/>
              <w:left w:w="12" w:type="dxa"/>
              <w:right w:w="12" w:type="dxa"/>
            </w:tcMar>
            <w:vAlign w:val="center"/>
          </w:tcPr>
          <w:p w14:paraId="5A6C1C05">
            <w:pPr>
              <w:widowControl/>
              <w:ind w:firstLine="480" w:firstLineChars="200"/>
              <w:jc w:val="left"/>
              <w:textAlignment w:val="center"/>
              <w:rPr>
                <w:rFonts w:hint="default" w:ascii="Times New Roman" w:hAnsi="Times New Roman" w:eastAsia="楷体" w:cs="Times New Roman"/>
                <w:color w:val="000000"/>
                <w:kern w:val="0"/>
                <w:sz w:val="24"/>
                <w:szCs w:val="24"/>
                <w:lang w:val="en-US" w:eastAsia="zh-CN" w:bidi="ar"/>
              </w:rPr>
            </w:pPr>
            <w:r>
              <w:rPr>
                <w:rFonts w:hint="eastAsia" w:eastAsia="楷体" w:cs="Times New Roman"/>
                <w:color w:val="000000"/>
                <w:kern w:val="0"/>
                <w:sz w:val="24"/>
                <w:szCs w:val="24"/>
                <w:lang w:val="en-US" w:eastAsia="zh-CN" w:bidi="ar"/>
              </w:rPr>
              <w:t>10</w:t>
            </w:r>
          </w:p>
        </w:tc>
        <w:tc>
          <w:tcPr>
            <w:tcW w:w="5336" w:type="dxa"/>
            <w:tcMar>
              <w:top w:w="12" w:type="dxa"/>
              <w:left w:w="12" w:type="dxa"/>
              <w:right w:w="12" w:type="dxa"/>
            </w:tcMar>
            <w:vAlign w:val="center"/>
          </w:tcPr>
          <w:p w14:paraId="6BF79470">
            <w:pPr>
              <w:widowControl/>
              <w:jc w:val="left"/>
              <w:textAlignment w:val="center"/>
              <w:rPr>
                <w:rFonts w:hint="default" w:ascii="Times New Roman" w:hAnsi="Times New Roman" w:eastAsia="楷体" w:cs="Times New Roman"/>
                <w:b/>
                <w:bCs/>
                <w:color w:val="000000"/>
                <w:kern w:val="0"/>
                <w:sz w:val="24"/>
                <w:szCs w:val="24"/>
                <w:lang w:val="en-US" w:eastAsia="zh-CN" w:bidi="ar"/>
              </w:rPr>
            </w:pPr>
            <w:r>
              <w:rPr>
                <w:rFonts w:hint="default" w:ascii="Times New Roman" w:hAnsi="Times New Roman" w:eastAsia="楷体" w:cs="Times New Roman"/>
                <w:b/>
                <w:bCs/>
                <w:color w:val="000000"/>
                <w:kern w:val="0"/>
                <w:sz w:val="24"/>
                <w:szCs w:val="24"/>
                <w:lang w:val="en-US" w:eastAsia="zh-CN" w:bidi="ar"/>
              </w:rPr>
              <w:t>公司履约能力：</w:t>
            </w:r>
          </w:p>
          <w:p w14:paraId="6E9897AB">
            <w:pPr>
              <w:widowControl/>
              <w:ind w:firstLine="480" w:firstLineChars="200"/>
              <w:jc w:val="left"/>
              <w:textAlignment w:val="center"/>
              <w:rPr>
                <w:rFonts w:hint="default" w:ascii="Times New Roman" w:hAnsi="Times New Roman" w:eastAsia="楷体" w:cs="Times New Roman"/>
                <w:color w:val="000000"/>
                <w:kern w:val="0"/>
                <w:sz w:val="24"/>
                <w:szCs w:val="24"/>
                <w:lang w:val="en-US" w:eastAsia="zh-CN" w:bidi="ar"/>
              </w:rPr>
            </w:pPr>
            <w:r>
              <w:rPr>
                <w:rFonts w:hint="default" w:ascii="Times New Roman" w:hAnsi="Times New Roman" w:eastAsia="楷体" w:cs="Times New Roman"/>
                <w:color w:val="000000"/>
                <w:kern w:val="0"/>
                <w:sz w:val="24"/>
                <w:szCs w:val="24"/>
                <w:lang w:val="en-US" w:eastAsia="zh-CN" w:bidi="ar"/>
              </w:rPr>
              <w:t>拟投入人员：具有水工环地质高级工程师同时地质灾害危险性评估报告编制培训证书。每1人得</w:t>
            </w:r>
            <w:r>
              <w:rPr>
                <w:rFonts w:hint="eastAsia" w:eastAsia="楷体" w:cs="Times New Roman"/>
                <w:color w:val="000000"/>
                <w:kern w:val="0"/>
                <w:sz w:val="24"/>
                <w:szCs w:val="24"/>
                <w:lang w:val="en-US" w:eastAsia="zh-CN" w:bidi="ar"/>
              </w:rPr>
              <w:t>2</w:t>
            </w:r>
            <w:r>
              <w:rPr>
                <w:rFonts w:hint="default" w:ascii="Times New Roman" w:hAnsi="Times New Roman" w:eastAsia="楷体" w:cs="Times New Roman"/>
                <w:color w:val="000000"/>
                <w:kern w:val="0"/>
                <w:sz w:val="24"/>
                <w:szCs w:val="24"/>
                <w:lang w:val="en-US" w:eastAsia="zh-CN" w:bidi="ar"/>
              </w:rPr>
              <w:t>分，最多得1</w:t>
            </w:r>
            <w:r>
              <w:rPr>
                <w:rFonts w:hint="eastAsia" w:eastAsia="楷体" w:cs="Times New Roman"/>
                <w:color w:val="000000"/>
                <w:kern w:val="0"/>
                <w:sz w:val="24"/>
                <w:szCs w:val="24"/>
                <w:lang w:val="en-US" w:eastAsia="zh-CN" w:bidi="ar"/>
              </w:rPr>
              <w:t>0</w:t>
            </w:r>
            <w:r>
              <w:rPr>
                <w:rFonts w:hint="default" w:ascii="Times New Roman" w:hAnsi="Times New Roman" w:eastAsia="楷体" w:cs="Times New Roman"/>
                <w:color w:val="000000"/>
                <w:kern w:val="0"/>
                <w:sz w:val="24"/>
                <w:szCs w:val="24"/>
                <w:lang w:val="en-US" w:eastAsia="zh-CN" w:bidi="ar"/>
              </w:rPr>
              <w:t>分。</w:t>
            </w:r>
            <w:r>
              <w:rPr>
                <w:rFonts w:hint="eastAsia" w:eastAsia="楷体" w:cs="Times New Roman"/>
                <w:color w:val="000000"/>
                <w:kern w:val="0"/>
                <w:sz w:val="24"/>
                <w:szCs w:val="24"/>
                <w:lang w:val="en-US" w:eastAsia="zh-CN" w:bidi="ar"/>
              </w:rPr>
              <w:t>不具备不得分。</w:t>
            </w:r>
          </w:p>
          <w:p w14:paraId="5629B038">
            <w:pPr>
              <w:widowControl/>
              <w:ind w:firstLine="480" w:firstLineChars="200"/>
              <w:jc w:val="left"/>
              <w:textAlignment w:val="center"/>
              <w:rPr>
                <w:rFonts w:hint="default" w:ascii="Times New Roman" w:hAnsi="Times New Roman" w:eastAsia="楷体" w:cs="Times New Roman"/>
                <w:color w:val="000000"/>
                <w:kern w:val="0"/>
                <w:sz w:val="24"/>
                <w:szCs w:val="24"/>
                <w:lang w:val="en-US" w:eastAsia="zh-CN" w:bidi="ar"/>
              </w:rPr>
            </w:pPr>
            <w:r>
              <w:rPr>
                <w:rFonts w:hint="default" w:ascii="Times New Roman" w:hAnsi="Times New Roman" w:eastAsia="楷体" w:cs="Times New Roman"/>
                <w:color w:val="000000"/>
                <w:kern w:val="0"/>
                <w:sz w:val="24"/>
                <w:szCs w:val="24"/>
                <w:lang w:eastAsia="zh-CN" w:bidi="ar"/>
              </w:rPr>
              <w:t>注：需提供个人职称证书、</w:t>
            </w:r>
            <w:r>
              <w:rPr>
                <w:rFonts w:hint="default" w:ascii="Times New Roman" w:hAnsi="Times New Roman" w:eastAsia="楷体" w:cs="Times New Roman"/>
                <w:color w:val="000000"/>
                <w:kern w:val="0"/>
                <w:sz w:val="24"/>
                <w:szCs w:val="24"/>
                <w:lang w:val="en-US" w:eastAsia="zh-CN" w:bidi="ar"/>
              </w:rPr>
              <w:t>培训证书</w:t>
            </w:r>
            <w:r>
              <w:rPr>
                <w:rFonts w:hint="default" w:ascii="Times New Roman" w:hAnsi="Times New Roman" w:eastAsia="楷体" w:cs="Times New Roman"/>
                <w:color w:val="000000"/>
                <w:kern w:val="0"/>
                <w:sz w:val="24"/>
                <w:szCs w:val="24"/>
                <w:lang w:eastAsia="zh-CN" w:bidi="ar"/>
              </w:rPr>
              <w:t>，</w:t>
            </w:r>
            <w:r>
              <w:rPr>
                <w:rFonts w:hint="default" w:ascii="Times New Roman" w:hAnsi="Times New Roman" w:eastAsia="楷体" w:cs="Times New Roman"/>
                <w:color w:val="000000"/>
                <w:kern w:val="0"/>
                <w:sz w:val="24"/>
                <w:szCs w:val="24"/>
                <w:lang w:val="en-US" w:eastAsia="zh-CN" w:bidi="ar"/>
              </w:rPr>
              <w:t>并提供连续六</w:t>
            </w:r>
            <w:r>
              <w:rPr>
                <w:rFonts w:hint="default" w:ascii="Times New Roman" w:hAnsi="Times New Roman" w:eastAsia="楷体" w:cs="Times New Roman"/>
                <w:color w:val="000000"/>
                <w:kern w:val="0"/>
                <w:sz w:val="24"/>
                <w:szCs w:val="24"/>
                <w:lang w:eastAsia="zh-CN" w:bidi="ar"/>
              </w:rPr>
              <w:t>个月在投标单位的社保缴纳证明等扫描件，</w:t>
            </w:r>
            <w:r>
              <w:rPr>
                <w:rFonts w:hint="default" w:ascii="Times New Roman" w:hAnsi="Times New Roman" w:eastAsia="楷体" w:cs="Times New Roman"/>
                <w:color w:val="000000"/>
                <w:kern w:val="0"/>
                <w:sz w:val="24"/>
                <w:szCs w:val="24"/>
                <w:lang w:val="en-US" w:eastAsia="zh-CN" w:bidi="ar"/>
              </w:rPr>
              <w:t>否则不得分</w:t>
            </w:r>
            <w:r>
              <w:rPr>
                <w:rFonts w:hint="default" w:ascii="Times New Roman" w:hAnsi="Times New Roman" w:eastAsia="楷体" w:cs="Times New Roman"/>
                <w:color w:val="000000"/>
                <w:kern w:val="0"/>
                <w:sz w:val="24"/>
                <w:szCs w:val="24"/>
                <w:lang w:eastAsia="zh-CN" w:bidi="ar"/>
              </w:rPr>
              <w:t>。</w:t>
            </w:r>
          </w:p>
        </w:tc>
        <w:tc>
          <w:tcPr>
            <w:tcW w:w="765" w:type="dxa"/>
            <w:tcMar>
              <w:top w:w="12" w:type="dxa"/>
              <w:left w:w="12" w:type="dxa"/>
              <w:right w:w="12" w:type="dxa"/>
            </w:tcMar>
            <w:vAlign w:val="center"/>
          </w:tcPr>
          <w:p w14:paraId="23D341AE">
            <w:pPr>
              <w:widowControl/>
              <w:jc w:val="center"/>
              <w:textAlignment w:val="center"/>
              <w:rPr>
                <w:rFonts w:hint="default" w:ascii="Times New Roman" w:hAnsi="Times New Roman" w:eastAsia="宋体" w:cs="Times New Roman"/>
                <w:color w:val="000000"/>
                <w:kern w:val="0"/>
                <w:sz w:val="21"/>
                <w:szCs w:val="21"/>
                <w:lang w:bidi="ar"/>
              </w:rPr>
            </w:pPr>
          </w:p>
        </w:tc>
        <w:tc>
          <w:tcPr>
            <w:tcW w:w="699" w:type="dxa"/>
            <w:tcMar>
              <w:top w:w="12" w:type="dxa"/>
              <w:left w:w="12" w:type="dxa"/>
              <w:right w:w="12" w:type="dxa"/>
            </w:tcMar>
            <w:vAlign w:val="center"/>
          </w:tcPr>
          <w:p w14:paraId="35800097">
            <w:pPr>
              <w:widowControl/>
              <w:jc w:val="center"/>
              <w:textAlignment w:val="center"/>
              <w:rPr>
                <w:rFonts w:hint="default" w:ascii="Times New Roman" w:hAnsi="Times New Roman" w:eastAsia="宋体" w:cs="Times New Roman"/>
                <w:color w:val="000000"/>
                <w:kern w:val="0"/>
                <w:sz w:val="21"/>
                <w:szCs w:val="21"/>
                <w:lang w:bidi="ar"/>
              </w:rPr>
            </w:pPr>
          </w:p>
        </w:tc>
      </w:tr>
      <w:tr w14:paraId="2F42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5" w:hRule="atLeast"/>
          <w:jc w:val="center"/>
        </w:trPr>
        <w:tc>
          <w:tcPr>
            <w:tcW w:w="1158" w:type="dxa"/>
            <w:vMerge w:val="continue"/>
            <w:tcMar>
              <w:top w:w="12" w:type="dxa"/>
              <w:left w:w="12" w:type="dxa"/>
              <w:right w:w="12" w:type="dxa"/>
            </w:tcMar>
            <w:vAlign w:val="center"/>
          </w:tcPr>
          <w:p w14:paraId="0C9BA4CE">
            <w:pPr>
              <w:widowControl/>
              <w:ind w:firstLine="480" w:firstLineChars="200"/>
              <w:jc w:val="left"/>
              <w:textAlignment w:val="center"/>
              <w:rPr>
                <w:rFonts w:hint="default" w:ascii="Times New Roman" w:hAnsi="Times New Roman" w:eastAsia="楷体" w:cs="Times New Roman"/>
                <w:color w:val="000000"/>
                <w:kern w:val="0"/>
                <w:sz w:val="24"/>
                <w:szCs w:val="24"/>
                <w:lang w:eastAsia="zh-CN" w:bidi="ar"/>
              </w:rPr>
            </w:pPr>
          </w:p>
        </w:tc>
        <w:tc>
          <w:tcPr>
            <w:tcW w:w="882" w:type="dxa"/>
            <w:tcMar>
              <w:top w:w="12" w:type="dxa"/>
              <w:left w:w="12" w:type="dxa"/>
              <w:right w:w="12" w:type="dxa"/>
            </w:tcMar>
            <w:vAlign w:val="center"/>
          </w:tcPr>
          <w:p w14:paraId="7C7A9115">
            <w:pPr>
              <w:widowControl/>
              <w:ind w:firstLine="480" w:firstLineChars="200"/>
              <w:jc w:val="left"/>
              <w:textAlignment w:val="center"/>
              <w:rPr>
                <w:rFonts w:hint="default" w:ascii="Times New Roman" w:hAnsi="Times New Roman" w:eastAsia="楷体" w:cs="Times New Roman"/>
                <w:color w:val="000000"/>
                <w:kern w:val="0"/>
                <w:sz w:val="24"/>
                <w:szCs w:val="24"/>
                <w:lang w:val="en-US" w:eastAsia="zh-CN" w:bidi="ar"/>
              </w:rPr>
            </w:pPr>
            <w:r>
              <w:rPr>
                <w:rFonts w:hint="eastAsia" w:eastAsia="楷体" w:cs="Times New Roman"/>
                <w:color w:val="000000"/>
                <w:kern w:val="0"/>
                <w:sz w:val="24"/>
                <w:szCs w:val="24"/>
                <w:lang w:val="en-US" w:eastAsia="zh-CN" w:bidi="ar"/>
              </w:rPr>
              <w:t>10</w:t>
            </w:r>
          </w:p>
        </w:tc>
        <w:tc>
          <w:tcPr>
            <w:tcW w:w="5336" w:type="dxa"/>
            <w:tcMar>
              <w:top w:w="12" w:type="dxa"/>
              <w:left w:w="12" w:type="dxa"/>
              <w:right w:w="12" w:type="dxa"/>
            </w:tcMar>
            <w:vAlign w:val="center"/>
          </w:tcPr>
          <w:p w14:paraId="2A6243C5">
            <w:pPr>
              <w:widowControl/>
              <w:jc w:val="left"/>
              <w:textAlignment w:val="center"/>
              <w:rPr>
                <w:rFonts w:hint="default" w:ascii="Times New Roman" w:hAnsi="Times New Roman" w:eastAsia="楷体" w:cs="Times New Roman"/>
                <w:b/>
                <w:bCs/>
                <w:color w:val="000000"/>
                <w:kern w:val="0"/>
                <w:sz w:val="24"/>
                <w:szCs w:val="24"/>
                <w:lang w:eastAsia="zh-CN" w:bidi="ar"/>
              </w:rPr>
            </w:pPr>
            <w:r>
              <w:rPr>
                <w:rFonts w:hint="default" w:ascii="Times New Roman" w:hAnsi="Times New Roman" w:eastAsia="楷体" w:cs="Times New Roman"/>
                <w:b/>
                <w:bCs/>
                <w:color w:val="000000"/>
                <w:kern w:val="0"/>
                <w:sz w:val="24"/>
                <w:szCs w:val="24"/>
                <w:lang w:eastAsia="zh-CN" w:bidi="ar"/>
              </w:rPr>
              <w:t>公司业绩：</w:t>
            </w:r>
          </w:p>
          <w:p w14:paraId="53EC36F6">
            <w:pPr>
              <w:widowControl/>
              <w:ind w:firstLine="480" w:firstLineChars="200"/>
              <w:jc w:val="left"/>
              <w:textAlignment w:val="center"/>
              <w:rPr>
                <w:rFonts w:hint="default" w:ascii="Times New Roman" w:hAnsi="Times New Roman" w:eastAsia="楷体" w:cs="Times New Roman"/>
                <w:color w:val="000000"/>
                <w:kern w:val="0"/>
                <w:sz w:val="24"/>
                <w:szCs w:val="24"/>
                <w:lang w:val="en-US" w:eastAsia="zh-CN" w:bidi="ar"/>
              </w:rPr>
            </w:pPr>
            <w:r>
              <w:rPr>
                <w:rFonts w:hint="default" w:ascii="Times New Roman" w:hAnsi="Times New Roman" w:eastAsia="楷体" w:cs="Times New Roman"/>
                <w:color w:val="000000"/>
                <w:kern w:val="0"/>
                <w:sz w:val="24"/>
                <w:szCs w:val="24"/>
                <w:lang w:val="en-US" w:eastAsia="zh-CN" w:bidi="ar"/>
              </w:rPr>
              <w:t>类似项目业绩</w:t>
            </w:r>
            <w:r>
              <w:rPr>
                <w:rFonts w:hint="eastAsia" w:eastAsia="楷体" w:cs="Times New Roman"/>
                <w:color w:val="000000"/>
                <w:kern w:val="0"/>
                <w:sz w:val="24"/>
                <w:szCs w:val="24"/>
                <w:lang w:val="en-US" w:eastAsia="zh-CN" w:bidi="ar"/>
              </w:rPr>
              <w:t>最终</w:t>
            </w:r>
            <w:r>
              <w:rPr>
                <w:rFonts w:hint="default" w:ascii="Times New Roman" w:hAnsi="Times New Roman" w:eastAsia="楷体" w:cs="Times New Roman"/>
                <w:color w:val="000000"/>
                <w:kern w:val="0"/>
                <w:sz w:val="24"/>
                <w:szCs w:val="24"/>
                <w:lang w:val="en-US" w:eastAsia="zh-CN" w:bidi="ar"/>
              </w:rPr>
              <w:t>地质灾害危险性评估报告经评审获得优秀等级的每个</w:t>
            </w:r>
            <w:r>
              <w:rPr>
                <w:rFonts w:hint="eastAsia" w:eastAsia="楷体" w:cs="Times New Roman"/>
                <w:color w:val="000000"/>
                <w:kern w:val="0"/>
                <w:sz w:val="24"/>
                <w:szCs w:val="24"/>
                <w:lang w:val="en-US" w:eastAsia="zh-CN" w:bidi="ar"/>
              </w:rPr>
              <w:t>得2</w:t>
            </w:r>
            <w:r>
              <w:rPr>
                <w:rFonts w:hint="default" w:ascii="Times New Roman" w:hAnsi="Times New Roman" w:eastAsia="楷体" w:cs="Times New Roman"/>
                <w:color w:val="000000"/>
                <w:kern w:val="0"/>
                <w:sz w:val="24"/>
                <w:szCs w:val="24"/>
                <w:lang w:val="en-US" w:eastAsia="zh-CN" w:bidi="ar"/>
              </w:rPr>
              <w:t>分，最多得</w:t>
            </w:r>
            <w:r>
              <w:rPr>
                <w:rFonts w:hint="eastAsia" w:eastAsia="楷体" w:cs="Times New Roman"/>
                <w:color w:val="000000"/>
                <w:kern w:val="0"/>
                <w:sz w:val="24"/>
                <w:szCs w:val="24"/>
                <w:lang w:val="en-US" w:eastAsia="zh-CN" w:bidi="ar"/>
              </w:rPr>
              <w:t>10</w:t>
            </w:r>
            <w:r>
              <w:rPr>
                <w:rFonts w:hint="default" w:ascii="Times New Roman" w:hAnsi="Times New Roman" w:eastAsia="楷体" w:cs="Times New Roman"/>
                <w:color w:val="000000"/>
                <w:kern w:val="0"/>
                <w:sz w:val="24"/>
                <w:szCs w:val="24"/>
                <w:lang w:val="en-US" w:eastAsia="zh-CN" w:bidi="ar"/>
              </w:rPr>
              <w:t>分。</w:t>
            </w:r>
          </w:p>
          <w:p w14:paraId="05F4D5C1">
            <w:pPr>
              <w:widowControl/>
              <w:ind w:firstLine="480" w:firstLineChars="200"/>
              <w:jc w:val="left"/>
              <w:textAlignment w:val="center"/>
              <w:rPr>
                <w:rFonts w:hint="default" w:ascii="Times New Roman" w:hAnsi="Times New Roman" w:eastAsia="楷体" w:cs="Times New Roman"/>
                <w:color w:val="000000"/>
                <w:kern w:val="0"/>
                <w:sz w:val="24"/>
                <w:szCs w:val="24"/>
                <w:lang w:val="en-US" w:eastAsia="zh-CN" w:bidi="ar"/>
              </w:rPr>
            </w:pPr>
            <w:r>
              <w:rPr>
                <w:rFonts w:hint="default" w:ascii="Times New Roman" w:hAnsi="Times New Roman" w:eastAsia="楷体" w:cs="Times New Roman"/>
                <w:color w:val="000000"/>
                <w:kern w:val="0"/>
                <w:sz w:val="24"/>
                <w:szCs w:val="24"/>
                <w:lang w:eastAsia="zh-CN" w:bidi="ar"/>
              </w:rPr>
              <w:t>注：需提供</w:t>
            </w:r>
            <w:r>
              <w:rPr>
                <w:rFonts w:hint="default" w:ascii="Times New Roman" w:hAnsi="Times New Roman" w:eastAsia="楷体" w:cs="Times New Roman"/>
                <w:color w:val="000000"/>
                <w:kern w:val="0"/>
                <w:sz w:val="24"/>
                <w:szCs w:val="24"/>
                <w:lang w:val="en-US" w:eastAsia="zh-CN" w:bidi="ar"/>
              </w:rPr>
              <w:t>合同、报告主要页、审查登记表。</w:t>
            </w:r>
          </w:p>
        </w:tc>
        <w:tc>
          <w:tcPr>
            <w:tcW w:w="765" w:type="dxa"/>
            <w:tcMar>
              <w:top w:w="12" w:type="dxa"/>
              <w:left w:w="12" w:type="dxa"/>
              <w:right w:w="12" w:type="dxa"/>
            </w:tcMar>
            <w:vAlign w:val="center"/>
          </w:tcPr>
          <w:p w14:paraId="5D7DAE1F">
            <w:pPr>
              <w:widowControl/>
              <w:jc w:val="center"/>
              <w:textAlignment w:val="center"/>
              <w:rPr>
                <w:rFonts w:hint="default" w:ascii="Times New Roman" w:hAnsi="Times New Roman" w:eastAsia="宋体" w:cs="Times New Roman"/>
                <w:color w:val="000000"/>
                <w:sz w:val="21"/>
                <w:szCs w:val="21"/>
                <w:highlight w:val="none"/>
              </w:rPr>
            </w:pPr>
          </w:p>
        </w:tc>
        <w:tc>
          <w:tcPr>
            <w:tcW w:w="699" w:type="dxa"/>
            <w:tcMar>
              <w:top w:w="12" w:type="dxa"/>
              <w:left w:w="12" w:type="dxa"/>
              <w:right w:w="12" w:type="dxa"/>
            </w:tcMar>
            <w:vAlign w:val="center"/>
          </w:tcPr>
          <w:p w14:paraId="58DA6ECD">
            <w:pPr>
              <w:widowControl/>
              <w:jc w:val="center"/>
              <w:textAlignment w:val="center"/>
              <w:rPr>
                <w:rFonts w:hint="default" w:ascii="Times New Roman" w:hAnsi="Times New Roman" w:eastAsia="宋体" w:cs="Times New Roman"/>
                <w:color w:val="000000"/>
                <w:sz w:val="21"/>
                <w:szCs w:val="21"/>
              </w:rPr>
            </w:pPr>
          </w:p>
        </w:tc>
      </w:tr>
      <w:tr w14:paraId="63DD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158" w:type="dxa"/>
            <w:vMerge w:val="restart"/>
            <w:tcMar>
              <w:top w:w="12" w:type="dxa"/>
              <w:left w:w="12" w:type="dxa"/>
              <w:right w:w="12" w:type="dxa"/>
            </w:tcMar>
            <w:vAlign w:val="center"/>
          </w:tcPr>
          <w:p w14:paraId="25FF9678">
            <w:pPr>
              <w:widowControl/>
              <w:jc w:val="left"/>
              <w:textAlignment w:val="center"/>
              <w:rPr>
                <w:rFonts w:hint="default" w:ascii="Times New Roman" w:hAnsi="Times New Roman" w:eastAsia="楷体" w:cs="Times New Roman"/>
                <w:color w:val="000000"/>
                <w:kern w:val="0"/>
                <w:sz w:val="24"/>
                <w:szCs w:val="24"/>
                <w:lang w:eastAsia="zh-CN" w:bidi="ar"/>
              </w:rPr>
            </w:pPr>
            <w:r>
              <w:rPr>
                <w:rFonts w:hint="default" w:ascii="Times New Roman" w:hAnsi="Times New Roman" w:eastAsia="楷体" w:cs="Times New Roman"/>
                <w:color w:val="000000"/>
                <w:kern w:val="0"/>
                <w:sz w:val="24"/>
                <w:szCs w:val="24"/>
                <w:lang w:eastAsia="zh-CN" w:bidi="ar"/>
              </w:rPr>
              <w:t>技术部分</w:t>
            </w:r>
          </w:p>
          <w:p w14:paraId="35E532EA">
            <w:pPr>
              <w:widowControl/>
              <w:ind w:firstLine="480" w:firstLineChars="200"/>
              <w:jc w:val="left"/>
              <w:textAlignment w:val="center"/>
              <w:rPr>
                <w:rFonts w:hint="default" w:ascii="Times New Roman" w:hAnsi="Times New Roman" w:eastAsia="楷体" w:cs="Times New Roman"/>
                <w:color w:val="000000"/>
                <w:kern w:val="0"/>
                <w:sz w:val="24"/>
                <w:szCs w:val="24"/>
                <w:lang w:eastAsia="zh-CN" w:bidi="ar"/>
              </w:rPr>
            </w:pPr>
            <w:r>
              <w:rPr>
                <w:rFonts w:hint="default" w:ascii="Times New Roman" w:hAnsi="Times New Roman" w:eastAsia="楷体" w:cs="Times New Roman"/>
                <w:color w:val="000000"/>
                <w:kern w:val="0"/>
                <w:sz w:val="24"/>
                <w:szCs w:val="24"/>
                <w:lang w:eastAsia="zh-CN" w:bidi="ar"/>
              </w:rPr>
              <w:t>（</w:t>
            </w:r>
            <w:r>
              <w:rPr>
                <w:rFonts w:hint="default" w:ascii="Times New Roman" w:hAnsi="Times New Roman" w:eastAsia="楷体" w:cs="Times New Roman"/>
                <w:color w:val="000000"/>
                <w:kern w:val="0"/>
                <w:sz w:val="24"/>
                <w:szCs w:val="24"/>
                <w:lang w:val="en-US" w:eastAsia="zh-CN" w:bidi="ar"/>
              </w:rPr>
              <w:t>40分</w:t>
            </w:r>
            <w:r>
              <w:rPr>
                <w:rFonts w:hint="default" w:ascii="Times New Roman" w:hAnsi="Times New Roman" w:eastAsia="楷体" w:cs="Times New Roman"/>
                <w:color w:val="000000"/>
                <w:kern w:val="0"/>
                <w:sz w:val="24"/>
                <w:szCs w:val="24"/>
                <w:lang w:eastAsia="zh-CN" w:bidi="ar"/>
              </w:rPr>
              <w:t>）</w:t>
            </w:r>
          </w:p>
        </w:tc>
        <w:tc>
          <w:tcPr>
            <w:tcW w:w="882" w:type="dxa"/>
            <w:tcMar>
              <w:top w:w="12" w:type="dxa"/>
              <w:left w:w="12" w:type="dxa"/>
              <w:right w:w="12" w:type="dxa"/>
            </w:tcMar>
            <w:vAlign w:val="top"/>
          </w:tcPr>
          <w:p w14:paraId="213589A2">
            <w:pPr>
              <w:widowControl/>
              <w:jc w:val="left"/>
              <w:textAlignment w:val="center"/>
              <w:rPr>
                <w:rFonts w:hint="default" w:ascii="Times New Roman" w:hAnsi="Times New Roman" w:eastAsia="楷体" w:cs="Times New Roman"/>
                <w:color w:val="000000"/>
                <w:kern w:val="0"/>
                <w:sz w:val="24"/>
                <w:szCs w:val="24"/>
                <w:lang w:val="en-US" w:eastAsia="zh-CN" w:bidi="ar"/>
              </w:rPr>
            </w:pPr>
            <w:r>
              <w:rPr>
                <w:rFonts w:hint="default" w:ascii="Times New Roman" w:hAnsi="Times New Roman" w:eastAsia="楷体" w:cs="Times New Roman"/>
                <w:color w:val="000000"/>
                <w:kern w:val="0"/>
                <w:sz w:val="24"/>
                <w:szCs w:val="24"/>
                <w:lang w:eastAsia="zh-CN" w:bidi="ar"/>
              </w:rPr>
              <w:t>评估技术实施方案 (1</w:t>
            </w:r>
            <w:r>
              <w:rPr>
                <w:rFonts w:hint="eastAsia" w:eastAsia="楷体" w:cs="Times New Roman"/>
                <w:color w:val="000000"/>
                <w:kern w:val="0"/>
                <w:sz w:val="24"/>
                <w:szCs w:val="24"/>
                <w:lang w:val="en-US" w:eastAsia="zh-CN" w:bidi="ar"/>
              </w:rPr>
              <w:t>5</w:t>
            </w:r>
            <w:r>
              <w:rPr>
                <w:rFonts w:hint="default" w:ascii="Times New Roman" w:hAnsi="Times New Roman" w:eastAsia="楷体" w:cs="Times New Roman"/>
                <w:color w:val="000000"/>
                <w:kern w:val="0"/>
                <w:sz w:val="24"/>
                <w:szCs w:val="24"/>
                <w:lang w:eastAsia="zh-CN" w:bidi="ar"/>
              </w:rPr>
              <w:t>.0分)</w:t>
            </w:r>
          </w:p>
        </w:tc>
        <w:tc>
          <w:tcPr>
            <w:tcW w:w="5336" w:type="dxa"/>
            <w:tcMar>
              <w:top w:w="12" w:type="dxa"/>
              <w:left w:w="12" w:type="dxa"/>
              <w:right w:w="12" w:type="dxa"/>
            </w:tcMar>
            <w:vAlign w:val="top"/>
          </w:tcPr>
          <w:p w14:paraId="6E622184">
            <w:pPr>
              <w:widowControl/>
              <w:ind w:firstLine="480" w:firstLineChars="200"/>
              <w:jc w:val="left"/>
              <w:textAlignment w:val="center"/>
              <w:rPr>
                <w:rFonts w:hint="default" w:ascii="Times New Roman" w:hAnsi="Times New Roman" w:eastAsia="楷体" w:cs="Times New Roman"/>
                <w:color w:val="000000"/>
                <w:kern w:val="0"/>
                <w:sz w:val="24"/>
                <w:szCs w:val="24"/>
                <w:lang w:eastAsia="zh-CN" w:bidi="ar"/>
              </w:rPr>
            </w:pPr>
            <w:r>
              <w:rPr>
                <w:rFonts w:hint="default" w:ascii="Times New Roman" w:hAnsi="Times New Roman" w:eastAsia="楷体" w:cs="Times New Roman"/>
                <w:color w:val="000000"/>
                <w:kern w:val="0"/>
                <w:sz w:val="24"/>
                <w:szCs w:val="24"/>
                <w:lang w:eastAsia="zh-CN" w:bidi="ar"/>
              </w:rPr>
              <w:t>根据供应商提供的技术方案进行评分（技术方案是否符合有关规范、要求和工作方法符合实际情况）：（1）技术方案符合规范、工作方法符合实际描述详细、工作程序明确详实，提供项目实施组织有保证，有利于项目实施，完全满足或优于采购需求，得</w:t>
            </w:r>
            <w:r>
              <w:rPr>
                <w:rFonts w:hint="eastAsia" w:eastAsia="楷体" w:cs="Times New Roman"/>
                <w:color w:val="000000"/>
                <w:kern w:val="0"/>
                <w:sz w:val="24"/>
                <w:szCs w:val="24"/>
                <w:lang w:val="en-US" w:eastAsia="zh-CN" w:bidi="ar"/>
              </w:rPr>
              <w:t>11-</w:t>
            </w:r>
            <w:r>
              <w:rPr>
                <w:rFonts w:hint="default" w:ascii="Times New Roman" w:hAnsi="Times New Roman" w:eastAsia="楷体" w:cs="Times New Roman"/>
                <w:color w:val="000000"/>
                <w:kern w:val="0"/>
                <w:sz w:val="24"/>
                <w:szCs w:val="24"/>
                <w:lang w:eastAsia="zh-CN" w:bidi="ar"/>
              </w:rPr>
              <w:t>1</w:t>
            </w:r>
            <w:r>
              <w:rPr>
                <w:rFonts w:hint="eastAsia" w:eastAsia="楷体" w:cs="Times New Roman"/>
                <w:color w:val="000000"/>
                <w:kern w:val="0"/>
                <w:sz w:val="24"/>
                <w:szCs w:val="24"/>
                <w:lang w:val="en-US" w:eastAsia="zh-CN" w:bidi="ar"/>
              </w:rPr>
              <w:t>5</w:t>
            </w:r>
            <w:r>
              <w:rPr>
                <w:rFonts w:hint="default" w:ascii="Times New Roman" w:hAnsi="Times New Roman" w:eastAsia="楷体" w:cs="Times New Roman"/>
                <w:color w:val="000000"/>
                <w:kern w:val="0"/>
                <w:sz w:val="24"/>
                <w:szCs w:val="24"/>
                <w:lang w:eastAsia="zh-CN" w:bidi="ar"/>
              </w:rPr>
              <w:t>分；（2）技术方案基本符合规范、工作方法基本符合实际、工作程序基本详实，提供项目实施的组织有一定保证，基本满足采购需求，得</w:t>
            </w:r>
            <w:r>
              <w:rPr>
                <w:rFonts w:hint="eastAsia" w:eastAsia="楷体" w:cs="Times New Roman"/>
                <w:color w:val="000000"/>
                <w:kern w:val="0"/>
                <w:sz w:val="24"/>
                <w:szCs w:val="24"/>
                <w:lang w:val="en-US" w:eastAsia="zh-CN" w:bidi="ar"/>
              </w:rPr>
              <w:t>6-10</w:t>
            </w:r>
            <w:r>
              <w:rPr>
                <w:rFonts w:hint="default" w:ascii="Times New Roman" w:hAnsi="Times New Roman" w:eastAsia="楷体" w:cs="Times New Roman"/>
                <w:color w:val="000000"/>
                <w:kern w:val="0"/>
                <w:sz w:val="24"/>
                <w:szCs w:val="24"/>
                <w:lang w:eastAsia="zh-CN" w:bidi="ar"/>
              </w:rPr>
              <w:t>分；（3）技术方案不符合规范、工作方法不符合实际、工作程序不详实，提供项目实施的组织没有完全保证，无法满足采购需求，得</w:t>
            </w:r>
            <w:r>
              <w:rPr>
                <w:rFonts w:hint="eastAsia" w:eastAsia="楷体" w:cs="Times New Roman"/>
                <w:color w:val="000000"/>
                <w:kern w:val="0"/>
                <w:sz w:val="24"/>
                <w:szCs w:val="24"/>
                <w:lang w:val="en-US" w:eastAsia="zh-CN" w:bidi="ar"/>
              </w:rPr>
              <w:t>0-5</w:t>
            </w:r>
            <w:r>
              <w:rPr>
                <w:rFonts w:hint="default" w:ascii="Times New Roman" w:hAnsi="Times New Roman" w:eastAsia="楷体" w:cs="Times New Roman"/>
                <w:color w:val="000000"/>
                <w:kern w:val="0"/>
                <w:sz w:val="24"/>
                <w:szCs w:val="24"/>
                <w:lang w:eastAsia="zh-CN" w:bidi="ar"/>
              </w:rPr>
              <w:t>分；（4）未提供相关方案的不得分。</w:t>
            </w:r>
          </w:p>
        </w:tc>
        <w:tc>
          <w:tcPr>
            <w:tcW w:w="765" w:type="dxa"/>
            <w:tcMar>
              <w:top w:w="12" w:type="dxa"/>
              <w:left w:w="12" w:type="dxa"/>
              <w:right w:w="12" w:type="dxa"/>
            </w:tcMar>
            <w:vAlign w:val="center"/>
          </w:tcPr>
          <w:p w14:paraId="4B32FBD4">
            <w:pPr>
              <w:widowControl/>
              <w:jc w:val="center"/>
              <w:textAlignment w:val="center"/>
              <w:rPr>
                <w:rFonts w:hint="default" w:ascii="Times New Roman" w:hAnsi="Times New Roman" w:eastAsia="宋体" w:cs="Times New Roman"/>
                <w:color w:val="000000"/>
                <w:sz w:val="21"/>
                <w:szCs w:val="21"/>
                <w:highlight w:val="none"/>
              </w:rPr>
            </w:pPr>
          </w:p>
        </w:tc>
        <w:tc>
          <w:tcPr>
            <w:tcW w:w="699" w:type="dxa"/>
            <w:tcMar>
              <w:top w:w="12" w:type="dxa"/>
              <w:left w:w="12" w:type="dxa"/>
              <w:right w:w="12" w:type="dxa"/>
            </w:tcMar>
            <w:vAlign w:val="center"/>
          </w:tcPr>
          <w:p w14:paraId="5977573E">
            <w:pPr>
              <w:widowControl/>
              <w:jc w:val="center"/>
              <w:textAlignment w:val="center"/>
              <w:rPr>
                <w:rFonts w:hint="default" w:ascii="Times New Roman" w:hAnsi="Times New Roman" w:eastAsia="宋体" w:cs="Times New Roman"/>
                <w:color w:val="000000"/>
                <w:sz w:val="21"/>
                <w:szCs w:val="21"/>
              </w:rPr>
            </w:pPr>
          </w:p>
        </w:tc>
      </w:tr>
      <w:tr w14:paraId="0188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158" w:type="dxa"/>
            <w:vMerge w:val="continue"/>
            <w:tcMar>
              <w:top w:w="12" w:type="dxa"/>
              <w:left w:w="12" w:type="dxa"/>
              <w:right w:w="12" w:type="dxa"/>
            </w:tcMar>
            <w:vAlign w:val="center"/>
          </w:tcPr>
          <w:p w14:paraId="2BE5C293">
            <w:pPr>
              <w:widowControl/>
              <w:ind w:firstLine="480" w:firstLineChars="200"/>
              <w:jc w:val="left"/>
              <w:textAlignment w:val="center"/>
              <w:rPr>
                <w:rFonts w:hint="default" w:ascii="Times New Roman" w:hAnsi="Times New Roman" w:eastAsia="楷体" w:cs="Times New Roman"/>
                <w:color w:val="000000"/>
                <w:kern w:val="0"/>
                <w:sz w:val="24"/>
                <w:szCs w:val="24"/>
                <w:lang w:eastAsia="zh-CN" w:bidi="ar"/>
              </w:rPr>
            </w:pPr>
          </w:p>
        </w:tc>
        <w:tc>
          <w:tcPr>
            <w:tcW w:w="882" w:type="dxa"/>
            <w:tcMar>
              <w:top w:w="12" w:type="dxa"/>
              <w:left w:w="12" w:type="dxa"/>
              <w:right w:w="12" w:type="dxa"/>
            </w:tcMar>
            <w:vAlign w:val="top"/>
          </w:tcPr>
          <w:p w14:paraId="1529D4F3">
            <w:pPr>
              <w:widowControl/>
              <w:ind w:firstLine="480" w:firstLineChars="200"/>
              <w:jc w:val="left"/>
              <w:textAlignment w:val="center"/>
              <w:rPr>
                <w:rFonts w:hint="default" w:ascii="Times New Roman" w:hAnsi="Times New Roman" w:eastAsia="楷体" w:cs="Times New Roman"/>
                <w:color w:val="000000"/>
                <w:kern w:val="0"/>
                <w:sz w:val="24"/>
                <w:szCs w:val="24"/>
                <w:lang w:val="en-US" w:eastAsia="zh-CN" w:bidi="ar"/>
              </w:rPr>
            </w:pPr>
            <w:r>
              <w:rPr>
                <w:rFonts w:hint="default" w:ascii="Times New Roman" w:hAnsi="Times New Roman" w:eastAsia="楷体" w:cs="Times New Roman"/>
                <w:color w:val="000000"/>
                <w:kern w:val="0"/>
                <w:sz w:val="24"/>
                <w:szCs w:val="24"/>
                <w:lang w:eastAsia="zh-CN" w:bidi="ar"/>
              </w:rPr>
              <w:t>评估工作计划安排 (</w:t>
            </w:r>
            <w:r>
              <w:rPr>
                <w:rFonts w:hint="default" w:ascii="Times New Roman" w:hAnsi="Times New Roman" w:eastAsia="楷体" w:cs="Times New Roman"/>
                <w:color w:val="000000"/>
                <w:kern w:val="0"/>
                <w:sz w:val="24"/>
                <w:szCs w:val="24"/>
                <w:lang w:val="en-US" w:eastAsia="zh-CN" w:bidi="ar"/>
              </w:rPr>
              <w:t>10</w:t>
            </w:r>
            <w:r>
              <w:rPr>
                <w:rFonts w:hint="default" w:ascii="Times New Roman" w:hAnsi="Times New Roman" w:eastAsia="楷体" w:cs="Times New Roman"/>
                <w:color w:val="000000"/>
                <w:kern w:val="0"/>
                <w:sz w:val="24"/>
                <w:szCs w:val="24"/>
                <w:lang w:eastAsia="zh-CN" w:bidi="ar"/>
              </w:rPr>
              <w:t>.0分)</w:t>
            </w:r>
          </w:p>
        </w:tc>
        <w:tc>
          <w:tcPr>
            <w:tcW w:w="5336" w:type="dxa"/>
            <w:tcMar>
              <w:top w:w="12" w:type="dxa"/>
              <w:left w:w="12" w:type="dxa"/>
              <w:right w:w="12" w:type="dxa"/>
            </w:tcMar>
            <w:vAlign w:val="top"/>
          </w:tcPr>
          <w:p w14:paraId="30651EFA">
            <w:pPr>
              <w:widowControl/>
              <w:ind w:firstLine="480" w:firstLineChars="200"/>
              <w:jc w:val="left"/>
              <w:textAlignment w:val="center"/>
              <w:rPr>
                <w:rFonts w:hint="default" w:ascii="Times New Roman" w:hAnsi="Times New Roman" w:eastAsia="楷体" w:cs="Times New Roman"/>
                <w:color w:val="000000"/>
                <w:kern w:val="0"/>
                <w:sz w:val="24"/>
                <w:szCs w:val="24"/>
                <w:lang w:eastAsia="zh-CN" w:bidi="ar"/>
              </w:rPr>
            </w:pPr>
            <w:r>
              <w:rPr>
                <w:rFonts w:hint="default" w:ascii="Times New Roman" w:hAnsi="Times New Roman" w:eastAsia="楷体" w:cs="Times New Roman"/>
                <w:color w:val="000000"/>
                <w:kern w:val="0"/>
                <w:sz w:val="24"/>
                <w:szCs w:val="24"/>
                <w:lang w:eastAsia="zh-CN" w:bidi="ar"/>
              </w:rPr>
              <w:t>根据供应商针对本项目提供的评估工作时间与进度计划方案是否合理、依据是否充分、工作进度安排是否清晰进行评审：（1）评估工作时间与进度计划方案合理、依据充分、工作进度安排清楚，得</w:t>
            </w:r>
            <w:r>
              <w:rPr>
                <w:rFonts w:hint="eastAsia" w:eastAsia="楷体" w:cs="Times New Roman"/>
                <w:color w:val="000000"/>
                <w:kern w:val="0"/>
                <w:sz w:val="24"/>
                <w:szCs w:val="24"/>
                <w:lang w:val="en-US" w:eastAsia="zh-CN" w:bidi="ar"/>
              </w:rPr>
              <w:t>8-</w:t>
            </w:r>
            <w:r>
              <w:rPr>
                <w:rFonts w:hint="default" w:ascii="Times New Roman" w:hAnsi="Times New Roman" w:eastAsia="楷体" w:cs="Times New Roman"/>
                <w:color w:val="000000"/>
                <w:kern w:val="0"/>
                <w:sz w:val="24"/>
                <w:szCs w:val="24"/>
                <w:lang w:val="en-US" w:eastAsia="zh-CN" w:bidi="ar"/>
              </w:rPr>
              <w:t>10</w:t>
            </w:r>
            <w:r>
              <w:rPr>
                <w:rFonts w:hint="default" w:ascii="Times New Roman" w:hAnsi="Times New Roman" w:eastAsia="楷体" w:cs="Times New Roman"/>
                <w:color w:val="000000"/>
                <w:kern w:val="0"/>
                <w:sz w:val="24"/>
                <w:szCs w:val="24"/>
                <w:lang w:eastAsia="zh-CN" w:bidi="ar"/>
              </w:rPr>
              <w:t>分；（2）评估工作时间与进度计划方案基本合理、依据基本充分、工作进度安排基本清楚，得</w:t>
            </w:r>
            <w:r>
              <w:rPr>
                <w:rFonts w:hint="eastAsia" w:eastAsia="楷体" w:cs="Times New Roman"/>
                <w:color w:val="000000"/>
                <w:kern w:val="0"/>
                <w:sz w:val="24"/>
                <w:szCs w:val="24"/>
                <w:lang w:val="en-US" w:eastAsia="zh-CN" w:bidi="ar"/>
              </w:rPr>
              <w:t>5-7</w:t>
            </w:r>
            <w:r>
              <w:rPr>
                <w:rFonts w:hint="default" w:ascii="Times New Roman" w:hAnsi="Times New Roman" w:eastAsia="楷体" w:cs="Times New Roman"/>
                <w:color w:val="000000"/>
                <w:kern w:val="0"/>
                <w:sz w:val="24"/>
                <w:szCs w:val="24"/>
                <w:lang w:eastAsia="zh-CN" w:bidi="ar"/>
              </w:rPr>
              <w:t>分；（3）评估工作时间与进度计划方案合理性欠缺、依据不充分、工作进度安排不清晰，得</w:t>
            </w:r>
            <w:r>
              <w:rPr>
                <w:rFonts w:hint="eastAsia" w:eastAsia="楷体" w:cs="Times New Roman"/>
                <w:color w:val="000000"/>
                <w:kern w:val="0"/>
                <w:sz w:val="24"/>
                <w:szCs w:val="24"/>
                <w:lang w:val="en-US" w:eastAsia="zh-CN" w:bidi="ar"/>
              </w:rPr>
              <w:t>1-</w:t>
            </w:r>
            <w:r>
              <w:rPr>
                <w:rFonts w:hint="default" w:ascii="Times New Roman" w:hAnsi="Times New Roman" w:eastAsia="楷体" w:cs="Times New Roman"/>
                <w:color w:val="000000"/>
                <w:kern w:val="0"/>
                <w:sz w:val="24"/>
                <w:szCs w:val="24"/>
                <w:lang w:eastAsia="zh-CN" w:bidi="ar"/>
              </w:rPr>
              <w:t>4分；（4）未提供相关方案的不得分。</w:t>
            </w:r>
          </w:p>
        </w:tc>
        <w:tc>
          <w:tcPr>
            <w:tcW w:w="765" w:type="dxa"/>
            <w:tcMar>
              <w:top w:w="12" w:type="dxa"/>
              <w:left w:w="12" w:type="dxa"/>
              <w:right w:w="12" w:type="dxa"/>
            </w:tcMar>
            <w:vAlign w:val="center"/>
          </w:tcPr>
          <w:p w14:paraId="3610B635">
            <w:pPr>
              <w:widowControl/>
              <w:jc w:val="center"/>
              <w:textAlignment w:val="center"/>
              <w:rPr>
                <w:rFonts w:hint="default" w:ascii="Times New Roman" w:hAnsi="Times New Roman" w:eastAsia="宋体" w:cs="Times New Roman"/>
                <w:color w:val="000000"/>
                <w:kern w:val="0"/>
                <w:sz w:val="21"/>
                <w:szCs w:val="21"/>
                <w:highlight w:val="none"/>
                <w:lang w:bidi="ar"/>
              </w:rPr>
            </w:pPr>
          </w:p>
        </w:tc>
        <w:tc>
          <w:tcPr>
            <w:tcW w:w="699" w:type="dxa"/>
            <w:tcMar>
              <w:top w:w="12" w:type="dxa"/>
              <w:left w:w="12" w:type="dxa"/>
              <w:right w:w="12" w:type="dxa"/>
            </w:tcMar>
            <w:vAlign w:val="center"/>
          </w:tcPr>
          <w:p w14:paraId="335C41E5">
            <w:pPr>
              <w:widowControl/>
              <w:jc w:val="center"/>
              <w:textAlignment w:val="center"/>
              <w:rPr>
                <w:rFonts w:hint="default" w:ascii="Times New Roman" w:hAnsi="Times New Roman" w:eastAsia="宋体" w:cs="Times New Roman"/>
                <w:color w:val="000000"/>
                <w:kern w:val="0"/>
                <w:sz w:val="21"/>
                <w:szCs w:val="21"/>
                <w:lang w:val="en-US" w:eastAsia="zh-CN" w:bidi="ar"/>
              </w:rPr>
            </w:pPr>
          </w:p>
        </w:tc>
      </w:tr>
      <w:tr w14:paraId="141A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158" w:type="dxa"/>
            <w:vMerge w:val="continue"/>
            <w:tcMar>
              <w:top w:w="12" w:type="dxa"/>
              <w:left w:w="12" w:type="dxa"/>
              <w:right w:w="12" w:type="dxa"/>
            </w:tcMar>
            <w:vAlign w:val="center"/>
          </w:tcPr>
          <w:p w14:paraId="537ED4A3">
            <w:pPr>
              <w:widowControl/>
              <w:ind w:firstLine="480" w:firstLineChars="200"/>
              <w:jc w:val="left"/>
              <w:textAlignment w:val="center"/>
              <w:rPr>
                <w:rFonts w:hint="default" w:ascii="Times New Roman" w:hAnsi="Times New Roman" w:eastAsia="楷体" w:cs="Times New Roman"/>
                <w:color w:val="000000"/>
                <w:kern w:val="0"/>
                <w:sz w:val="24"/>
                <w:szCs w:val="24"/>
                <w:lang w:eastAsia="zh-CN" w:bidi="ar"/>
              </w:rPr>
            </w:pPr>
          </w:p>
        </w:tc>
        <w:tc>
          <w:tcPr>
            <w:tcW w:w="882" w:type="dxa"/>
            <w:tcMar>
              <w:top w:w="12" w:type="dxa"/>
              <w:left w:w="12" w:type="dxa"/>
              <w:right w:w="12" w:type="dxa"/>
            </w:tcMar>
            <w:vAlign w:val="top"/>
          </w:tcPr>
          <w:p w14:paraId="22F7D61E">
            <w:pPr>
              <w:widowControl/>
              <w:jc w:val="left"/>
              <w:textAlignment w:val="center"/>
              <w:rPr>
                <w:rFonts w:hint="default" w:ascii="Times New Roman" w:hAnsi="Times New Roman" w:eastAsia="楷体" w:cs="Times New Roman"/>
                <w:color w:val="000000"/>
                <w:kern w:val="0"/>
                <w:sz w:val="24"/>
                <w:szCs w:val="24"/>
                <w:lang w:eastAsia="zh-CN" w:bidi="ar"/>
              </w:rPr>
            </w:pPr>
            <w:r>
              <w:rPr>
                <w:rFonts w:hint="default" w:ascii="Times New Roman" w:hAnsi="Times New Roman" w:eastAsia="楷体" w:cs="Times New Roman"/>
                <w:color w:val="000000"/>
                <w:kern w:val="0"/>
                <w:sz w:val="24"/>
                <w:szCs w:val="24"/>
                <w:lang w:eastAsia="zh-CN" w:bidi="ar"/>
              </w:rPr>
              <w:t>质量保证措施</w:t>
            </w:r>
          </w:p>
          <w:p w14:paraId="39A62123">
            <w:pPr>
              <w:widowControl/>
              <w:jc w:val="left"/>
              <w:textAlignment w:val="center"/>
              <w:rPr>
                <w:rFonts w:hint="default" w:ascii="Times New Roman" w:hAnsi="Times New Roman" w:eastAsia="楷体" w:cs="Times New Roman"/>
                <w:color w:val="000000"/>
                <w:kern w:val="0"/>
                <w:sz w:val="24"/>
                <w:szCs w:val="24"/>
                <w:lang w:val="en-US" w:eastAsia="zh-CN" w:bidi="ar"/>
              </w:rPr>
            </w:pPr>
            <w:r>
              <w:rPr>
                <w:rFonts w:hint="default" w:ascii="Times New Roman" w:hAnsi="Times New Roman" w:eastAsia="楷体" w:cs="Times New Roman"/>
                <w:color w:val="000000"/>
                <w:kern w:val="0"/>
                <w:sz w:val="24"/>
                <w:szCs w:val="24"/>
                <w:lang w:eastAsia="zh-CN" w:bidi="ar"/>
              </w:rPr>
              <w:t>(</w:t>
            </w:r>
            <w:r>
              <w:rPr>
                <w:rFonts w:hint="default" w:ascii="Times New Roman" w:hAnsi="Times New Roman" w:eastAsia="楷体" w:cs="Times New Roman"/>
                <w:color w:val="000000"/>
                <w:kern w:val="0"/>
                <w:sz w:val="24"/>
                <w:szCs w:val="24"/>
                <w:lang w:val="en-US" w:eastAsia="zh-CN" w:bidi="ar"/>
              </w:rPr>
              <w:t>10</w:t>
            </w:r>
            <w:r>
              <w:rPr>
                <w:rFonts w:hint="default" w:ascii="Times New Roman" w:hAnsi="Times New Roman" w:eastAsia="楷体" w:cs="Times New Roman"/>
                <w:color w:val="000000"/>
                <w:kern w:val="0"/>
                <w:sz w:val="24"/>
                <w:szCs w:val="24"/>
                <w:lang w:eastAsia="zh-CN" w:bidi="ar"/>
              </w:rPr>
              <w:t>.0分)</w:t>
            </w:r>
          </w:p>
        </w:tc>
        <w:tc>
          <w:tcPr>
            <w:tcW w:w="5336" w:type="dxa"/>
            <w:tcMar>
              <w:top w:w="12" w:type="dxa"/>
              <w:left w:w="12" w:type="dxa"/>
              <w:right w:w="12" w:type="dxa"/>
            </w:tcMar>
            <w:vAlign w:val="top"/>
          </w:tcPr>
          <w:p w14:paraId="64A50139">
            <w:pPr>
              <w:widowControl/>
              <w:ind w:firstLine="480" w:firstLineChars="200"/>
              <w:jc w:val="left"/>
              <w:textAlignment w:val="center"/>
              <w:rPr>
                <w:rFonts w:hint="default" w:ascii="Times New Roman" w:hAnsi="Times New Roman" w:eastAsia="楷体" w:cs="Times New Roman"/>
                <w:color w:val="000000"/>
                <w:kern w:val="0"/>
                <w:sz w:val="24"/>
                <w:szCs w:val="24"/>
                <w:lang w:eastAsia="zh-CN" w:bidi="ar"/>
              </w:rPr>
            </w:pPr>
            <w:r>
              <w:rPr>
                <w:rFonts w:hint="default" w:ascii="Times New Roman" w:hAnsi="Times New Roman" w:eastAsia="楷体" w:cs="Times New Roman"/>
                <w:color w:val="000000"/>
                <w:kern w:val="0"/>
                <w:sz w:val="24"/>
                <w:szCs w:val="24"/>
                <w:lang w:eastAsia="zh-CN" w:bidi="ar"/>
              </w:rPr>
              <w:t>根据供应商提供的质量保证措施进行评审：（1）供应商对本项目进行了具有针对性的分析，提出的地质灾害危险性评估质量标准及质量管理措施完善且合理可行，得</w:t>
            </w:r>
            <w:r>
              <w:rPr>
                <w:rFonts w:hint="eastAsia" w:eastAsia="楷体" w:cs="Times New Roman"/>
                <w:color w:val="000000"/>
                <w:kern w:val="0"/>
                <w:sz w:val="24"/>
                <w:szCs w:val="24"/>
                <w:lang w:val="en-US" w:eastAsia="zh-CN" w:bidi="ar"/>
              </w:rPr>
              <w:t>8-</w:t>
            </w:r>
            <w:r>
              <w:rPr>
                <w:rFonts w:hint="default" w:ascii="Times New Roman" w:hAnsi="Times New Roman" w:eastAsia="楷体" w:cs="Times New Roman"/>
                <w:color w:val="000000"/>
                <w:kern w:val="0"/>
                <w:sz w:val="24"/>
                <w:szCs w:val="24"/>
                <w:lang w:val="en-US" w:eastAsia="zh-CN" w:bidi="ar"/>
              </w:rPr>
              <w:t>10</w:t>
            </w:r>
            <w:r>
              <w:rPr>
                <w:rFonts w:hint="default" w:ascii="Times New Roman" w:hAnsi="Times New Roman" w:eastAsia="楷体" w:cs="Times New Roman"/>
                <w:color w:val="000000"/>
                <w:kern w:val="0"/>
                <w:sz w:val="24"/>
                <w:szCs w:val="24"/>
                <w:lang w:eastAsia="zh-CN" w:bidi="ar"/>
              </w:rPr>
              <w:t>分；（2）供应商对本项目进行了具有针对性的分析，提出的地质灾害危险性评估质量标准及质量管理措施较为完善且合理可行，得</w:t>
            </w:r>
            <w:r>
              <w:rPr>
                <w:rFonts w:hint="eastAsia" w:eastAsia="楷体" w:cs="Times New Roman"/>
                <w:color w:val="000000"/>
                <w:kern w:val="0"/>
                <w:sz w:val="24"/>
                <w:szCs w:val="24"/>
                <w:lang w:val="en-US" w:eastAsia="zh-CN" w:bidi="ar"/>
              </w:rPr>
              <w:t>5-7</w:t>
            </w:r>
            <w:r>
              <w:rPr>
                <w:rFonts w:hint="default" w:ascii="Times New Roman" w:hAnsi="Times New Roman" w:eastAsia="楷体" w:cs="Times New Roman"/>
                <w:color w:val="000000"/>
                <w:kern w:val="0"/>
                <w:sz w:val="24"/>
                <w:szCs w:val="24"/>
                <w:lang w:eastAsia="zh-CN" w:bidi="ar"/>
              </w:rPr>
              <w:t>分；（3）供应商对本项目进行了具有针对性的分析，提出的地质灾害危险性评估质量标准及质量管理措施基本完善且基本可行，得</w:t>
            </w:r>
            <w:r>
              <w:rPr>
                <w:rFonts w:hint="eastAsia" w:eastAsia="楷体" w:cs="Times New Roman"/>
                <w:color w:val="000000"/>
                <w:kern w:val="0"/>
                <w:sz w:val="24"/>
                <w:szCs w:val="24"/>
                <w:lang w:val="en-US" w:eastAsia="zh-CN" w:bidi="ar"/>
              </w:rPr>
              <w:t>1-4</w:t>
            </w:r>
            <w:r>
              <w:rPr>
                <w:rFonts w:hint="default" w:ascii="Times New Roman" w:hAnsi="Times New Roman" w:eastAsia="楷体" w:cs="Times New Roman"/>
                <w:color w:val="000000"/>
                <w:kern w:val="0"/>
                <w:sz w:val="24"/>
                <w:szCs w:val="24"/>
                <w:lang w:eastAsia="zh-CN" w:bidi="ar"/>
              </w:rPr>
              <w:t>分；（4）供应商未提供相关措施的不得分。</w:t>
            </w:r>
          </w:p>
        </w:tc>
        <w:tc>
          <w:tcPr>
            <w:tcW w:w="765" w:type="dxa"/>
            <w:tcMar>
              <w:top w:w="12" w:type="dxa"/>
              <w:left w:w="12" w:type="dxa"/>
              <w:right w:w="12" w:type="dxa"/>
            </w:tcMar>
            <w:vAlign w:val="center"/>
          </w:tcPr>
          <w:p w14:paraId="389138A5">
            <w:pPr>
              <w:widowControl/>
              <w:jc w:val="center"/>
              <w:textAlignment w:val="center"/>
              <w:rPr>
                <w:rFonts w:hint="default" w:ascii="Times New Roman" w:hAnsi="Times New Roman" w:eastAsia="宋体" w:cs="Times New Roman"/>
                <w:color w:val="000000"/>
                <w:kern w:val="0"/>
                <w:sz w:val="21"/>
                <w:szCs w:val="21"/>
                <w:highlight w:val="none"/>
                <w:lang w:bidi="ar"/>
              </w:rPr>
            </w:pPr>
          </w:p>
        </w:tc>
        <w:tc>
          <w:tcPr>
            <w:tcW w:w="699" w:type="dxa"/>
            <w:tcMar>
              <w:top w:w="12" w:type="dxa"/>
              <w:left w:w="12" w:type="dxa"/>
              <w:right w:w="12" w:type="dxa"/>
            </w:tcMar>
            <w:vAlign w:val="center"/>
          </w:tcPr>
          <w:p w14:paraId="1F29F8B9">
            <w:pPr>
              <w:widowControl/>
              <w:jc w:val="center"/>
              <w:textAlignment w:val="center"/>
              <w:rPr>
                <w:rFonts w:hint="default" w:ascii="Times New Roman" w:hAnsi="Times New Roman" w:eastAsia="宋体" w:cs="Times New Roman"/>
                <w:color w:val="000000"/>
                <w:kern w:val="0"/>
                <w:sz w:val="21"/>
                <w:szCs w:val="21"/>
                <w:lang w:val="en-US" w:eastAsia="zh-CN" w:bidi="ar"/>
              </w:rPr>
            </w:pPr>
          </w:p>
        </w:tc>
      </w:tr>
      <w:tr w14:paraId="5E90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158" w:type="dxa"/>
            <w:vMerge w:val="continue"/>
            <w:tcMar>
              <w:top w:w="12" w:type="dxa"/>
              <w:left w:w="12" w:type="dxa"/>
              <w:right w:w="12" w:type="dxa"/>
            </w:tcMar>
            <w:vAlign w:val="center"/>
          </w:tcPr>
          <w:p w14:paraId="6067F5A9">
            <w:pPr>
              <w:widowControl/>
              <w:ind w:firstLine="480" w:firstLineChars="200"/>
              <w:jc w:val="left"/>
              <w:textAlignment w:val="center"/>
              <w:rPr>
                <w:rFonts w:hint="default" w:ascii="Times New Roman" w:hAnsi="Times New Roman" w:eastAsia="楷体" w:cs="Times New Roman"/>
                <w:color w:val="000000"/>
                <w:kern w:val="0"/>
                <w:sz w:val="24"/>
                <w:szCs w:val="24"/>
                <w:lang w:eastAsia="zh-CN" w:bidi="ar"/>
              </w:rPr>
            </w:pPr>
          </w:p>
        </w:tc>
        <w:tc>
          <w:tcPr>
            <w:tcW w:w="882" w:type="dxa"/>
            <w:tcMar>
              <w:top w:w="12" w:type="dxa"/>
              <w:left w:w="12" w:type="dxa"/>
              <w:right w:w="12" w:type="dxa"/>
            </w:tcMar>
            <w:vAlign w:val="top"/>
          </w:tcPr>
          <w:p w14:paraId="45EE44B9">
            <w:pPr>
              <w:widowControl/>
              <w:jc w:val="left"/>
              <w:textAlignment w:val="center"/>
              <w:rPr>
                <w:rFonts w:hint="default" w:ascii="Times New Roman" w:hAnsi="Times New Roman" w:eastAsia="楷体" w:cs="Times New Roman"/>
                <w:color w:val="000000"/>
                <w:kern w:val="0"/>
                <w:sz w:val="24"/>
                <w:szCs w:val="24"/>
                <w:lang w:eastAsia="zh-CN" w:bidi="ar"/>
              </w:rPr>
            </w:pPr>
            <w:r>
              <w:rPr>
                <w:rFonts w:hint="default" w:ascii="Times New Roman" w:hAnsi="Times New Roman" w:eastAsia="楷体" w:cs="Times New Roman"/>
                <w:color w:val="000000"/>
                <w:kern w:val="0"/>
                <w:sz w:val="24"/>
                <w:szCs w:val="24"/>
                <w:lang w:eastAsia="zh-CN" w:bidi="ar"/>
              </w:rPr>
              <w:t>后续服务</w:t>
            </w:r>
          </w:p>
          <w:p w14:paraId="0D71B44D">
            <w:pPr>
              <w:widowControl/>
              <w:jc w:val="left"/>
              <w:textAlignment w:val="center"/>
              <w:rPr>
                <w:rFonts w:hint="default" w:ascii="Times New Roman" w:hAnsi="Times New Roman" w:eastAsia="楷体" w:cs="Times New Roman"/>
                <w:color w:val="000000"/>
                <w:kern w:val="0"/>
                <w:sz w:val="24"/>
                <w:szCs w:val="24"/>
                <w:lang w:val="en-US" w:eastAsia="zh-CN" w:bidi="ar"/>
              </w:rPr>
            </w:pPr>
            <w:r>
              <w:rPr>
                <w:rFonts w:hint="default" w:ascii="Times New Roman" w:hAnsi="Times New Roman" w:eastAsia="楷体" w:cs="Times New Roman"/>
                <w:color w:val="000000"/>
                <w:kern w:val="0"/>
                <w:sz w:val="24"/>
                <w:szCs w:val="24"/>
                <w:lang w:eastAsia="zh-CN" w:bidi="ar"/>
              </w:rPr>
              <w:t>(5.0分)</w:t>
            </w:r>
          </w:p>
        </w:tc>
        <w:tc>
          <w:tcPr>
            <w:tcW w:w="5336" w:type="dxa"/>
            <w:tcMar>
              <w:top w:w="12" w:type="dxa"/>
              <w:left w:w="12" w:type="dxa"/>
              <w:right w:w="12" w:type="dxa"/>
            </w:tcMar>
            <w:vAlign w:val="top"/>
          </w:tcPr>
          <w:p w14:paraId="31C5FF0D">
            <w:pPr>
              <w:widowControl/>
              <w:ind w:firstLine="480" w:firstLineChars="200"/>
              <w:jc w:val="left"/>
              <w:textAlignment w:val="center"/>
              <w:rPr>
                <w:rFonts w:hint="default" w:ascii="Times New Roman" w:hAnsi="Times New Roman" w:eastAsia="楷体" w:cs="Times New Roman"/>
                <w:color w:val="000000"/>
                <w:kern w:val="0"/>
                <w:sz w:val="24"/>
                <w:szCs w:val="24"/>
                <w:lang w:eastAsia="zh-CN" w:bidi="ar"/>
              </w:rPr>
            </w:pPr>
            <w:r>
              <w:rPr>
                <w:rFonts w:hint="default" w:ascii="Times New Roman" w:hAnsi="Times New Roman" w:eastAsia="楷体" w:cs="Times New Roman"/>
                <w:color w:val="000000"/>
                <w:kern w:val="0"/>
                <w:sz w:val="24"/>
                <w:szCs w:val="24"/>
                <w:lang w:eastAsia="zh-CN" w:bidi="ar"/>
              </w:rPr>
              <w:t>根据供应商提供的项目完成后的后续服务情况包括：有关成果内容的解释、政策咨询、技术支持、服务响应时间等进行评分。（1）后续服务方案内容全面具体、针对性强的，得5分；（2）后续服务方案内容较为具体、针对性较强的，得3分；（3）后续服务方案针对性存在偏差，内容涵盖不全的，得1分；（4）无提供方案不得分。</w:t>
            </w:r>
          </w:p>
        </w:tc>
        <w:tc>
          <w:tcPr>
            <w:tcW w:w="765" w:type="dxa"/>
            <w:tcMar>
              <w:top w:w="12" w:type="dxa"/>
              <w:left w:w="12" w:type="dxa"/>
              <w:right w:w="12" w:type="dxa"/>
            </w:tcMar>
            <w:vAlign w:val="center"/>
          </w:tcPr>
          <w:p w14:paraId="2399BF51">
            <w:pPr>
              <w:widowControl/>
              <w:jc w:val="center"/>
              <w:textAlignment w:val="center"/>
              <w:rPr>
                <w:rFonts w:hint="default" w:ascii="Times New Roman" w:hAnsi="Times New Roman" w:eastAsia="宋体" w:cs="Times New Roman"/>
                <w:color w:val="000000"/>
                <w:kern w:val="0"/>
                <w:sz w:val="21"/>
                <w:szCs w:val="21"/>
                <w:highlight w:val="none"/>
                <w:lang w:bidi="ar"/>
              </w:rPr>
            </w:pPr>
          </w:p>
        </w:tc>
        <w:tc>
          <w:tcPr>
            <w:tcW w:w="699" w:type="dxa"/>
            <w:tcMar>
              <w:top w:w="12" w:type="dxa"/>
              <w:left w:w="12" w:type="dxa"/>
              <w:right w:w="12" w:type="dxa"/>
            </w:tcMar>
            <w:vAlign w:val="center"/>
          </w:tcPr>
          <w:p w14:paraId="2378F70C">
            <w:pPr>
              <w:widowControl/>
              <w:jc w:val="center"/>
              <w:textAlignment w:val="center"/>
              <w:rPr>
                <w:rFonts w:hint="default" w:ascii="Times New Roman" w:hAnsi="Times New Roman" w:eastAsia="宋体" w:cs="Times New Roman"/>
                <w:color w:val="000000"/>
                <w:kern w:val="0"/>
                <w:sz w:val="21"/>
                <w:szCs w:val="21"/>
                <w:lang w:val="en-US" w:eastAsia="zh-CN" w:bidi="ar"/>
              </w:rPr>
            </w:pPr>
          </w:p>
        </w:tc>
      </w:tr>
      <w:tr w14:paraId="16DC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8" w:hRule="atLeast"/>
          <w:jc w:val="center"/>
        </w:trPr>
        <w:tc>
          <w:tcPr>
            <w:tcW w:w="1158" w:type="dxa"/>
            <w:tcMar>
              <w:top w:w="12" w:type="dxa"/>
              <w:left w:w="12" w:type="dxa"/>
              <w:right w:w="12" w:type="dxa"/>
            </w:tcMar>
            <w:vAlign w:val="center"/>
          </w:tcPr>
          <w:p w14:paraId="4A60A6A3">
            <w:pPr>
              <w:widowControl/>
              <w:jc w:val="left"/>
              <w:textAlignment w:val="center"/>
              <w:rPr>
                <w:rFonts w:hint="default" w:ascii="Times New Roman" w:hAnsi="Times New Roman" w:eastAsia="楷体" w:cs="Times New Roman"/>
                <w:color w:val="auto"/>
                <w:kern w:val="0"/>
                <w:sz w:val="24"/>
                <w:szCs w:val="24"/>
                <w:lang w:eastAsia="zh-CN" w:bidi="ar"/>
              </w:rPr>
            </w:pPr>
            <w:r>
              <w:rPr>
                <w:rFonts w:hint="eastAsia" w:eastAsia="楷体" w:cs="Times New Roman"/>
                <w:color w:val="auto"/>
                <w:kern w:val="0"/>
                <w:sz w:val="24"/>
                <w:szCs w:val="24"/>
                <w:lang w:val="en-US" w:eastAsia="zh-CN" w:bidi="ar"/>
              </w:rPr>
              <w:t>报价</w:t>
            </w:r>
            <w:r>
              <w:rPr>
                <w:rFonts w:hint="default" w:ascii="Times New Roman" w:hAnsi="Times New Roman" w:eastAsia="楷体" w:cs="Times New Roman"/>
                <w:color w:val="auto"/>
                <w:kern w:val="0"/>
                <w:sz w:val="24"/>
                <w:szCs w:val="24"/>
                <w:lang w:eastAsia="zh-CN" w:bidi="ar"/>
              </w:rPr>
              <w:t>部分</w:t>
            </w:r>
            <w:bookmarkStart w:id="0" w:name="_GoBack"/>
            <w:bookmarkEnd w:id="0"/>
          </w:p>
          <w:p w14:paraId="3E752CDF">
            <w:pPr>
              <w:widowControl/>
              <w:jc w:val="left"/>
              <w:textAlignment w:val="center"/>
              <w:rPr>
                <w:rFonts w:hint="default" w:ascii="Times New Roman" w:hAnsi="Times New Roman" w:eastAsia="楷体" w:cs="Times New Roman"/>
                <w:color w:val="000000"/>
                <w:kern w:val="0"/>
                <w:sz w:val="24"/>
                <w:szCs w:val="24"/>
                <w:lang w:eastAsia="zh-CN" w:bidi="ar"/>
              </w:rPr>
            </w:pPr>
            <w:r>
              <w:rPr>
                <w:rFonts w:hint="default" w:ascii="Times New Roman" w:hAnsi="Times New Roman" w:eastAsia="楷体" w:cs="Times New Roman"/>
                <w:color w:val="auto"/>
                <w:kern w:val="0"/>
                <w:sz w:val="24"/>
                <w:szCs w:val="24"/>
                <w:lang w:eastAsia="zh-CN" w:bidi="ar"/>
              </w:rPr>
              <w:t>（</w:t>
            </w:r>
            <w:r>
              <w:rPr>
                <w:rFonts w:hint="eastAsia" w:eastAsia="楷体" w:cs="Times New Roman"/>
                <w:color w:val="auto"/>
                <w:kern w:val="0"/>
                <w:sz w:val="24"/>
                <w:szCs w:val="24"/>
                <w:lang w:val="en-US" w:eastAsia="zh-CN" w:bidi="ar"/>
              </w:rPr>
              <w:t>30</w:t>
            </w:r>
            <w:r>
              <w:rPr>
                <w:rFonts w:hint="default" w:ascii="Times New Roman" w:hAnsi="Times New Roman" w:eastAsia="楷体" w:cs="Times New Roman"/>
                <w:color w:val="auto"/>
                <w:kern w:val="0"/>
                <w:sz w:val="24"/>
                <w:szCs w:val="24"/>
                <w:lang w:eastAsia="zh-CN" w:bidi="ar"/>
              </w:rPr>
              <w:t>分）</w:t>
            </w:r>
          </w:p>
        </w:tc>
        <w:tc>
          <w:tcPr>
            <w:tcW w:w="882" w:type="dxa"/>
            <w:tcMar>
              <w:top w:w="12" w:type="dxa"/>
              <w:left w:w="12" w:type="dxa"/>
              <w:right w:w="12" w:type="dxa"/>
            </w:tcMar>
            <w:vAlign w:val="center"/>
          </w:tcPr>
          <w:p w14:paraId="51E60102">
            <w:pPr>
              <w:widowControl/>
              <w:jc w:val="left"/>
              <w:textAlignment w:val="center"/>
              <w:rPr>
                <w:rFonts w:hint="default" w:ascii="Times New Roman" w:hAnsi="Times New Roman" w:eastAsia="楷体" w:cs="Times New Roman"/>
                <w:color w:val="000000"/>
                <w:kern w:val="0"/>
                <w:sz w:val="24"/>
                <w:szCs w:val="24"/>
                <w:lang w:val="en-US" w:eastAsia="zh-CN" w:bidi="ar"/>
              </w:rPr>
            </w:pPr>
            <w:r>
              <w:rPr>
                <w:rFonts w:hint="eastAsia" w:eastAsia="楷体" w:cs="Times New Roman"/>
                <w:color w:val="000000"/>
                <w:kern w:val="0"/>
                <w:sz w:val="24"/>
                <w:szCs w:val="24"/>
                <w:lang w:val="en-US" w:eastAsia="zh-CN" w:bidi="ar"/>
              </w:rPr>
              <w:t>3</w:t>
            </w:r>
            <w:r>
              <w:rPr>
                <w:rFonts w:hint="default" w:ascii="Times New Roman" w:hAnsi="Times New Roman" w:eastAsia="楷体" w:cs="Times New Roman"/>
                <w:color w:val="000000"/>
                <w:kern w:val="0"/>
                <w:sz w:val="24"/>
                <w:szCs w:val="24"/>
                <w:lang w:val="en-US" w:eastAsia="zh-CN" w:bidi="ar"/>
              </w:rPr>
              <w:t>0</w:t>
            </w:r>
          </w:p>
        </w:tc>
        <w:tc>
          <w:tcPr>
            <w:tcW w:w="5336" w:type="dxa"/>
            <w:tcMar>
              <w:top w:w="12" w:type="dxa"/>
              <w:left w:w="12" w:type="dxa"/>
              <w:right w:w="12" w:type="dxa"/>
            </w:tcMar>
            <w:vAlign w:val="center"/>
          </w:tcPr>
          <w:p w14:paraId="3BE00CE9">
            <w:pPr>
              <w:widowControl/>
              <w:jc w:val="left"/>
              <w:textAlignment w:val="center"/>
              <w:rPr>
                <w:rFonts w:hint="default" w:ascii="Times New Roman" w:hAnsi="Times New Roman" w:eastAsia="楷体" w:cs="Times New Roman"/>
                <w:b/>
                <w:bCs/>
                <w:color w:val="000000"/>
                <w:kern w:val="0"/>
                <w:sz w:val="24"/>
                <w:szCs w:val="24"/>
                <w:lang w:val="en-US" w:eastAsia="zh-CN" w:bidi="ar"/>
              </w:rPr>
            </w:pPr>
            <w:r>
              <w:rPr>
                <w:rFonts w:hint="default" w:ascii="Times New Roman" w:hAnsi="Times New Roman" w:eastAsia="楷体" w:cs="Times New Roman"/>
                <w:b/>
                <w:bCs/>
                <w:color w:val="000000"/>
                <w:kern w:val="0"/>
                <w:sz w:val="24"/>
                <w:szCs w:val="24"/>
                <w:lang w:eastAsia="zh-CN" w:bidi="ar"/>
              </w:rPr>
              <w:t>价格评分：</w:t>
            </w:r>
          </w:p>
          <w:p w14:paraId="1F2C01F5">
            <w:pPr>
              <w:pStyle w:val="6"/>
              <w:rPr>
                <w:rFonts w:hint="eastAsia"/>
                <w:highlight w:val="none"/>
              </w:rPr>
            </w:pPr>
            <w:r>
              <w:rPr>
                <w:rFonts w:hint="eastAsia"/>
                <w:highlight w:val="none"/>
              </w:rPr>
              <w:t>1.以评标基准价作为计算各有效投标价得分的基础，当有效投标报价等于评标基准价时计算得分100分；投标有效报价与评标基准价之差，每上偏1%扣</w:t>
            </w:r>
            <w:r>
              <w:rPr>
                <w:rFonts w:hint="eastAsia"/>
                <w:highlight w:val="none"/>
                <w:lang w:val="en-US" w:eastAsia="zh-CN"/>
              </w:rPr>
              <w:t>1</w:t>
            </w:r>
            <w:r>
              <w:rPr>
                <w:rFonts w:hint="eastAsia"/>
                <w:highlight w:val="none"/>
              </w:rPr>
              <w:t>分，每下偏1%扣</w:t>
            </w:r>
            <w:r>
              <w:rPr>
                <w:rFonts w:hint="eastAsia"/>
                <w:highlight w:val="none"/>
                <w:lang w:val="en-US" w:eastAsia="zh-CN"/>
              </w:rPr>
              <w:t>0.5</w:t>
            </w:r>
            <w:r>
              <w:rPr>
                <w:rFonts w:hint="eastAsia"/>
                <w:highlight w:val="none"/>
              </w:rPr>
              <w:t>分，最多扣至0分。</w:t>
            </w:r>
          </w:p>
          <w:p w14:paraId="04202F17">
            <w:pPr>
              <w:jc w:val="left"/>
              <w:rPr>
                <w:rFonts w:hint="eastAsia"/>
                <w:szCs w:val="21"/>
                <w:lang w:eastAsia="zh-CN" w:bidi="ar"/>
              </w:rPr>
            </w:pPr>
            <w:r>
              <w:rPr>
                <w:rFonts w:hint="eastAsia"/>
                <w:szCs w:val="21"/>
                <w:lang w:val="en-US" w:eastAsia="zh-CN" w:bidi="ar"/>
              </w:rPr>
              <w:t>2.</w:t>
            </w:r>
            <w:r>
              <w:rPr>
                <w:szCs w:val="21"/>
                <w:lang w:bidi="ar"/>
              </w:rPr>
              <w:t>评标基准价计算方法</w:t>
            </w:r>
            <w:r>
              <w:rPr>
                <w:rFonts w:hint="eastAsia"/>
                <w:szCs w:val="21"/>
                <w:lang w:eastAsia="zh-CN" w:bidi="ar"/>
              </w:rPr>
              <w:t>：</w:t>
            </w:r>
          </w:p>
          <w:p w14:paraId="2FF1AD99">
            <w:pPr>
              <w:jc w:val="left"/>
              <w:rPr>
                <w:bCs/>
                <w:szCs w:val="21"/>
                <w:lang w:bidi="ar"/>
              </w:rPr>
            </w:pPr>
            <w:r>
              <w:rPr>
                <w:rFonts w:hint="eastAsia"/>
                <w:szCs w:val="21"/>
                <w:lang w:val="en-US" w:eastAsia="zh-CN" w:bidi="ar"/>
              </w:rPr>
              <w:t>①</w:t>
            </w:r>
            <w:r>
              <w:rPr>
                <w:bCs/>
                <w:szCs w:val="21"/>
                <w:lang w:bidi="ar"/>
              </w:rPr>
              <w:t>当通过初步评审在位于[最高投标限价总价×80%，最高投标限价总价]区间的投标价中的有效投标人大于或等于5名时，所有入围的有效投标价中去掉一个最高价和一个最低价，取余下有效投标价的算术平均值的作为评标基准价。</w:t>
            </w:r>
          </w:p>
          <w:p w14:paraId="7F93CE25">
            <w:pPr>
              <w:jc w:val="left"/>
              <w:rPr>
                <w:rFonts w:ascii="宋体" w:hAnsi="宋体" w:cs="宋体"/>
                <w:szCs w:val="21"/>
              </w:rPr>
            </w:pPr>
            <w:r>
              <w:rPr>
                <w:rFonts w:hint="eastAsia"/>
                <w:bCs/>
                <w:szCs w:val="21"/>
                <w:lang w:val="en-US" w:eastAsia="zh-CN" w:bidi="ar"/>
              </w:rPr>
              <w:t>②</w:t>
            </w:r>
            <w:r>
              <w:rPr>
                <w:bCs/>
                <w:szCs w:val="21"/>
                <w:lang w:bidi="ar"/>
              </w:rPr>
              <w:t>当通过初步评审在位于[最高投标限价总价×80%，最高投标限价总价]区间的投标价中的有效投标人小于5名时，</w:t>
            </w:r>
            <w:r>
              <w:rPr>
                <w:rFonts w:hint="eastAsia" w:ascii="宋体" w:hAnsi="宋体" w:cs="宋体"/>
                <w:szCs w:val="21"/>
              </w:rPr>
              <w:t>取所有入围的有效投标报价的算术平均值的作为</w:t>
            </w:r>
            <w:r>
              <w:rPr>
                <w:bCs/>
                <w:szCs w:val="21"/>
                <w:lang w:bidi="ar"/>
              </w:rPr>
              <w:t>评标基准价</w:t>
            </w:r>
            <w:r>
              <w:rPr>
                <w:rFonts w:hint="eastAsia" w:ascii="宋体" w:hAnsi="宋体" w:cs="宋体"/>
                <w:szCs w:val="21"/>
              </w:rPr>
              <w:t>。</w:t>
            </w:r>
          </w:p>
          <w:p w14:paraId="36F34EDC">
            <w:pPr>
              <w:rPr>
                <w:rFonts w:hint="eastAsia"/>
              </w:rPr>
            </w:pPr>
            <w:r>
              <w:rPr>
                <w:rFonts w:hint="eastAsia"/>
                <w:lang w:val="en-US" w:eastAsia="zh-CN"/>
              </w:rPr>
              <w:t>③</w:t>
            </w:r>
            <w:r>
              <w:rPr>
                <w:rFonts w:hint="eastAsia"/>
              </w:rPr>
              <w:t>当通过初步评审没有投标价位于[最高投标限价</w:t>
            </w:r>
            <w:r>
              <w:rPr>
                <w:bCs/>
                <w:szCs w:val="21"/>
                <w:lang w:bidi="ar"/>
              </w:rPr>
              <w:t>总价</w:t>
            </w:r>
            <w:r>
              <w:rPr>
                <w:rFonts w:hint="eastAsia"/>
              </w:rPr>
              <w:t>×80%，最高投标限价</w:t>
            </w:r>
            <w:r>
              <w:rPr>
                <w:bCs/>
                <w:szCs w:val="21"/>
                <w:lang w:bidi="ar"/>
              </w:rPr>
              <w:t>总价</w:t>
            </w:r>
            <w:r>
              <w:rPr>
                <w:rFonts w:hint="eastAsia"/>
              </w:rPr>
              <w:t>]区间的有效投标人，所有投标人的报价得分为0分。</w:t>
            </w:r>
          </w:p>
          <w:p w14:paraId="4FA3A9D6">
            <w:pPr>
              <w:pStyle w:val="6"/>
              <w:rPr>
                <w:rFonts w:hint="default" w:ascii="Times New Roman" w:hAnsi="Times New Roman" w:eastAsia="楷体" w:cs="Times New Roman"/>
                <w:color w:val="000000"/>
                <w:kern w:val="0"/>
                <w:sz w:val="24"/>
                <w:szCs w:val="24"/>
                <w:lang w:eastAsia="zh-CN" w:bidi="ar"/>
              </w:rPr>
            </w:pPr>
            <w:r>
              <w:rPr>
                <w:rFonts w:hint="eastAsia"/>
                <w:b/>
                <w:bCs/>
                <w:highlight w:val="none"/>
                <w:lang w:val="en-US" w:eastAsia="zh-CN"/>
              </w:rPr>
              <w:t>3</w:t>
            </w:r>
            <w:r>
              <w:rPr>
                <w:rFonts w:hint="eastAsia"/>
                <w:b/>
                <w:bCs/>
                <w:highlight w:val="none"/>
              </w:rPr>
              <w:t>.投标人报价得分=报价计算得分×</w:t>
            </w:r>
            <w:r>
              <w:rPr>
                <w:rFonts w:hint="eastAsia"/>
                <w:b/>
                <w:bCs/>
                <w:highlight w:val="none"/>
                <w:lang w:val="en-US" w:eastAsia="zh-CN"/>
              </w:rPr>
              <w:t>3</w:t>
            </w:r>
            <w:r>
              <w:rPr>
                <w:rFonts w:hint="eastAsia"/>
                <w:b/>
                <w:bCs/>
                <w:highlight w:val="none"/>
              </w:rPr>
              <w:t>0%，得出投标报价得分，精确到小数点后两位。</w:t>
            </w:r>
          </w:p>
        </w:tc>
        <w:tc>
          <w:tcPr>
            <w:tcW w:w="765" w:type="dxa"/>
            <w:tcMar>
              <w:top w:w="12" w:type="dxa"/>
              <w:left w:w="12" w:type="dxa"/>
              <w:right w:w="12" w:type="dxa"/>
            </w:tcMar>
            <w:vAlign w:val="center"/>
          </w:tcPr>
          <w:p w14:paraId="574597F0">
            <w:pPr>
              <w:widowControl/>
              <w:jc w:val="center"/>
              <w:textAlignment w:val="center"/>
              <w:rPr>
                <w:rFonts w:hint="default" w:ascii="Times New Roman" w:hAnsi="Times New Roman" w:eastAsia="宋体" w:cs="Times New Roman"/>
                <w:color w:val="000000"/>
                <w:sz w:val="21"/>
                <w:szCs w:val="21"/>
              </w:rPr>
            </w:pPr>
          </w:p>
        </w:tc>
        <w:tc>
          <w:tcPr>
            <w:tcW w:w="699" w:type="dxa"/>
            <w:tcMar>
              <w:top w:w="12" w:type="dxa"/>
              <w:left w:w="12" w:type="dxa"/>
              <w:right w:w="12" w:type="dxa"/>
            </w:tcMar>
            <w:vAlign w:val="center"/>
          </w:tcPr>
          <w:p w14:paraId="030D4B92">
            <w:pPr>
              <w:widowControl/>
              <w:jc w:val="center"/>
              <w:textAlignment w:val="center"/>
              <w:rPr>
                <w:rFonts w:hint="default" w:ascii="Times New Roman" w:hAnsi="Times New Roman" w:eastAsia="宋体" w:cs="Times New Roman"/>
                <w:color w:val="000000"/>
                <w:sz w:val="21"/>
                <w:szCs w:val="21"/>
              </w:rPr>
            </w:pPr>
          </w:p>
        </w:tc>
      </w:tr>
      <w:tr w14:paraId="061B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4" w:hRule="atLeast"/>
          <w:jc w:val="center"/>
        </w:trPr>
        <w:tc>
          <w:tcPr>
            <w:tcW w:w="8840" w:type="dxa"/>
            <w:gridSpan w:val="5"/>
            <w:tcMar>
              <w:top w:w="12" w:type="dxa"/>
              <w:left w:w="12" w:type="dxa"/>
              <w:right w:w="12" w:type="dxa"/>
            </w:tcMar>
            <w:vAlign w:val="center"/>
          </w:tcPr>
          <w:p w14:paraId="1A337EC6">
            <w:pPr>
              <w:widowControl/>
              <w:jc w:val="left"/>
              <w:textAlignment w:val="center"/>
              <w:rPr>
                <w:rFonts w:hint="default" w:ascii="Times New Roman" w:hAnsi="Times New Roman" w:eastAsia="楷体" w:cs="Times New Roman"/>
                <w:color w:val="000000"/>
                <w:kern w:val="0"/>
                <w:sz w:val="24"/>
                <w:szCs w:val="24"/>
                <w:lang w:bidi="ar"/>
              </w:rPr>
            </w:pPr>
            <w:r>
              <w:rPr>
                <w:rFonts w:hint="default" w:ascii="Times New Roman" w:hAnsi="Times New Roman" w:eastAsia="楷体" w:cs="Times New Roman"/>
                <w:color w:val="000000"/>
                <w:kern w:val="0"/>
                <w:sz w:val="24"/>
                <w:szCs w:val="24"/>
                <w:lang w:bidi="ar"/>
              </w:rPr>
              <w:t>评分说明：</w:t>
            </w:r>
          </w:p>
          <w:p w14:paraId="657FF2F0">
            <w:pPr>
              <w:widowControl/>
              <w:ind w:firstLine="480" w:firstLineChars="200"/>
              <w:jc w:val="left"/>
              <w:textAlignment w:val="center"/>
              <w:rPr>
                <w:rFonts w:hint="default" w:ascii="Times New Roman" w:hAnsi="Times New Roman" w:eastAsia="楷体" w:cs="Times New Roman"/>
                <w:color w:val="000000"/>
                <w:sz w:val="28"/>
                <w:szCs w:val="28"/>
              </w:rPr>
            </w:pPr>
            <w:r>
              <w:rPr>
                <w:rFonts w:hint="eastAsia" w:ascii="楷体" w:hAnsi="楷体" w:eastAsia="楷体" w:cs="楷体"/>
                <w:color w:val="auto"/>
                <w:kern w:val="0"/>
                <w:sz w:val="24"/>
                <w:szCs w:val="24"/>
                <w:lang w:eastAsia="zh-CN" w:bidi="ar"/>
              </w:rPr>
              <w:t>根据院内竞标细则，参加综合评标人员：</w:t>
            </w:r>
            <w:r>
              <w:rPr>
                <w:rFonts w:hint="eastAsia" w:ascii="楷体" w:hAnsi="楷体" w:eastAsia="楷体" w:cs="楷体"/>
                <w:color w:val="auto"/>
                <w:kern w:val="0"/>
                <w:sz w:val="24"/>
                <w:szCs w:val="24"/>
                <w:lang w:val="en-US" w:eastAsia="zh-CN" w:bidi="ar"/>
              </w:rPr>
              <w:t>各专业委员会随机抽取5人或财务科1人、使用科室2人、采购业务归口管理部门1人、采购业务归口管理部门分管领导。监督部门：纪检监察和审计科</w:t>
            </w:r>
            <w:r>
              <w:rPr>
                <w:rFonts w:hint="default" w:ascii="Times New Roman" w:hAnsi="Times New Roman" w:eastAsia="楷体" w:cs="Times New Roman"/>
                <w:color w:val="000000"/>
                <w:kern w:val="0"/>
                <w:sz w:val="24"/>
                <w:szCs w:val="24"/>
                <w:lang w:val="en-US" w:eastAsia="zh-CN" w:bidi="ar"/>
              </w:rPr>
              <w:t>。原则上至少</w:t>
            </w:r>
            <w:r>
              <w:rPr>
                <w:rFonts w:hint="default" w:ascii="Times New Roman" w:hAnsi="Times New Roman" w:eastAsia="楷体" w:cs="Times New Roman"/>
                <w:color w:val="000000"/>
                <w:kern w:val="0"/>
                <w:sz w:val="24"/>
                <w:szCs w:val="24"/>
                <w:lang w:bidi="ar"/>
              </w:rPr>
              <w:t>由</w:t>
            </w:r>
            <w:r>
              <w:rPr>
                <w:rFonts w:hint="default" w:ascii="Times New Roman" w:hAnsi="Times New Roman" w:eastAsia="楷体" w:cs="Times New Roman"/>
                <w:color w:val="000000"/>
                <w:kern w:val="0"/>
                <w:sz w:val="24"/>
                <w:szCs w:val="24"/>
                <w:lang w:val="en-US" w:eastAsia="zh-CN" w:bidi="ar"/>
              </w:rPr>
              <w:t xml:space="preserve"> 5 </w:t>
            </w:r>
            <w:r>
              <w:rPr>
                <w:rFonts w:hint="default" w:ascii="Times New Roman" w:hAnsi="Times New Roman" w:eastAsia="楷体" w:cs="Times New Roman"/>
                <w:color w:val="000000"/>
                <w:kern w:val="0"/>
                <w:sz w:val="24"/>
                <w:szCs w:val="24"/>
                <w:lang w:bidi="ar"/>
              </w:rPr>
              <w:t>人组成专家评分组，进行评分，去掉一个最高分，去掉一个最低分，取平均分。按得分由高到低顺序确定中标候选单位；得分相同的，按投标报价由低到高顺序确定中标候选单位；得分且投标报价相同的，按技术指标优劣顺序确定中标单位。</w:t>
            </w:r>
          </w:p>
        </w:tc>
      </w:tr>
    </w:tbl>
    <w:p w14:paraId="575400AE">
      <w:pPr>
        <w:spacing w:line="440" w:lineRule="exact"/>
        <w:rPr>
          <w:rFonts w:hint="eastAsia" w:ascii="楷体" w:hAnsi="楷体" w:eastAsia="楷体" w:cs="楷体"/>
          <w:bCs/>
          <w:spacing w:val="10"/>
          <w:sz w:val="24"/>
        </w:rPr>
      </w:pPr>
    </w:p>
    <w:p w14:paraId="7CAF5D62">
      <w:pPr>
        <w:spacing w:line="440" w:lineRule="exact"/>
        <w:rPr>
          <w:rFonts w:hint="eastAsia" w:ascii="楷体" w:hAnsi="楷体" w:eastAsia="楷体" w:cs="楷体"/>
          <w:iCs/>
          <w:sz w:val="24"/>
        </w:rPr>
      </w:pPr>
      <w:r>
        <w:rPr>
          <w:rFonts w:hint="eastAsia" w:ascii="楷体" w:hAnsi="楷体" w:eastAsia="楷体" w:cs="楷体"/>
          <w:iCs/>
          <w:sz w:val="24"/>
          <w:lang w:eastAsia="zh-CN"/>
        </w:rPr>
        <w:t>备注</w:t>
      </w:r>
      <w:r>
        <w:rPr>
          <w:rFonts w:hint="eastAsia" w:ascii="楷体" w:hAnsi="楷体" w:eastAsia="楷体" w:cs="楷体"/>
          <w:iCs/>
          <w:sz w:val="24"/>
        </w:rPr>
        <w:t>：</w:t>
      </w:r>
    </w:p>
    <w:p w14:paraId="5EC546BB">
      <w:pPr>
        <w:spacing w:line="440" w:lineRule="exact"/>
        <w:rPr>
          <w:rFonts w:hint="eastAsia" w:ascii="楷体" w:hAnsi="楷体" w:eastAsia="楷体" w:cs="楷体"/>
          <w:iCs/>
          <w:sz w:val="24"/>
        </w:rPr>
      </w:pPr>
      <w:r>
        <w:rPr>
          <w:rFonts w:hint="eastAsia" w:ascii="楷体" w:hAnsi="楷体" w:eastAsia="楷体" w:cs="楷体"/>
          <w:iCs/>
          <w:sz w:val="24"/>
        </w:rPr>
        <w:t>1</w:t>
      </w:r>
      <w:r>
        <w:rPr>
          <w:rFonts w:hint="eastAsia" w:ascii="楷体" w:hAnsi="楷体" w:eastAsia="楷体" w:cs="楷体"/>
          <w:iCs/>
          <w:sz w:val="24"/>
          <w:lang w:val="en-US" w:eastAsia="zh-CN"/>
        </w:rPr>
        <w:t>.</w:t>
      </w:r>
      <w:r>
        <w:rPr>
          <w:rFonts w:hint="eastAsia" w:ascii="楷体" w:hAnsi="楷体" w:eastAsia="楷体" w:cs="楷体"/>
          <w:iCs/>
          <w:sz w:val="24"/>
        </w:rPr>
        <w:t>以上表格由评委单独填写；</w:t>
      </w:r>
    </w:p>
    <w:p w14:paraId="41AB2035">
      <w:pPr>
        <w:spacing w:line="440" w:lineRule="exact"/>
        <w:rPr>
          <w:rFonts w:hint="eastAsia" w:ascii="楷体" w:hAnsi="楷体" w:eastAsia="楷体" w:cs="楷体"/>
          <w:iCs/>
          <w:sz w:val="24"/>
          <w:lang w:eastAsia="zh-CN"/>
        </w:rPr>
      </w:pPr>
      <w:r>
        <w:rPr>
          <w:rFonts w:hint="eastAsia" w:ascii="楷体" w:hAnsi="楷体" w:eastAsia="楷体" w:cs="楷体"/>
          <w:iCs/>
          <w:sz w:val="24"/>
        </w:rPr>
        <w:t>2</w:t>
      </w:r>
      <w:r>
        <w:rPr>
          <w:rFonts w:hint="eastAsia" w:ascii="楷体" w:hAnsi="楷体" w:eastAsia="楷体" w:cs="楷体"/>
          <w:iCs/>
          <w:sz w:val="24"/>
          <w:lang w:val="en-US" w:eastAsia="zh-CN"/>
        </w:rPr>
        <w:t>.</w:t>
      </w:r>
      <w:r>
        <w:rPr>
          <w:rFonts w:hint="eastAsia" w:ascii="楷体" w:hAnsi="楷体" w:eastAsia="楷体" w:cs="楷体"/>
          <w:iCs/>
          <w:sz w:val="24"/>
        </w:rPr>
        <w:t>供应商最终得分为所有评委打分的算术平均值</w:t>
      </w:r>
      <w:r>
        <w:rPr>
          <w:rFonts w:hint="eastAsia" w:ascii="楷体" w:hAnsi="楷体" w:eastAsia="楷体" w:cs="楷体"/>
          <w:iCs/>
          <w:sz w:val="24"/>
          <w:lang w:eastAsia="zh-CN"/>
        </w:rPr>
        <w:t>。</w:t>
      </w:r>
    </w:p>
    <w:p w14:paraId="1C21ADB3">
      <w:pPr>
        <w:pStyle w:val="2"/>
        <w:rPr>
          <w:rFonts w:hint="eastAsia" w:ascii="楷体" w:hAnsi="楷体" w:eastAsia="楷体" w:cs="楷体"/>
          <w:iCs/>
          <w:sz w:val="24"/>
          <w:lang w:val="en-US" w:eastAsia="zh-CN"/>
        </w:rPr>
      </w:pPr>
    </w:p>
    <w:p w14:paraId="204ACC31">
      <w:pPr>
        <w:pStyle w:val="2"/>
        <w:ind w:left="0" w:leftChars="0" w:firstLine="0" w:firstLineChars="0"/>
        <w:rPr>
          <w:rFonts w:hint="default" w:ascii="楷体" w:hAnsi="楷体" w:eastAsia="楷体" w:cs="楷体"/>
          <w:b/>
          <w:bCs/>
          <w:iCs/>
          <w:sz w:val="28"/>
          <w:szCs w:val="28"/>
          <w:lang w:val="en-US" w:eastAsia="zh-CN"/>
        </w:rPr>
      </w:pPr>
      <w:r>
        <w:rPr>
          <w:rFonts w:hint="eastAsia" w:ascii="楷体" w:hAnsi="楷体" w:eastAsia="楷体" w:cs="楷体"/>
          <w:b/>
          <w:bCs/>
          <w:iCs/>
          <w:sz w:val="28"/>
          <w:szCs w:val="28"/>
          <w:lang w:val="en-US" w:eastAsia="zh-CN"/>
        </w:rPr>
        <w:t>审核人：</w:t>
      </w:r>
    </w:p>
    <w:p w14:paraId="5E420708">
      <w:pPr>
        <w:pStyle w:val="2"/>
        <w:rPr>
          <w:rFonts w:hint="eastAsia" w:ascii="楷体" w:hAnsi="楷体" w:eastAsia="楷体" w:cs="楷体"/>
          <w:iCs/>
          <w:sz w:val="24"/>
          <w:lang w:val="en-US" w:eastAsia="zh-CN"/>
        </w:rPr>
      </w:pPr>
    </w:p>
    <w:p w14:paraId="24881C80">
      <w:pPr>
        <w:pStyle w:val="2"/>
        <w:jc w:val="center"/>
        <w:rPr>
          <w:rFonts w:hint="default" w:ascii="楷体" w:hAnsi="楷体" w:eastAsia="楷体" w:cs="楷体"/>
          <w:iCs/>
          <w:sz w:val="24"/>
          <w:lang w:val="en-US" w:eastAsia="zh-CN"/>
        </w:rPr>
      </w:pPr>
      <w:r>
        <w:rPr>
          <w:rFonts w:hint="eastAsia" w:ascii="楷体" w:hAnsi="楷体" w:eastAsia="楷体" w:cs="楷体"/>
          <w:iCs/>
          <w:sz w:val="24"/>
          <w:lang w:val="en-US" w:eastAsia="zh-CN"/>
        </w:rPr>
        <w:t>投标资格评审标准</w:t>
      </w:r>
    </w:p>
    <w:tbl>
      <w:tblPr>
        <w:tblStyle w:val="8"/>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58"/>
        <w:gridCol w:w="2327"/>
        <w:gridCol w:w="5658"/>
      </w:tblGrid>
      <w:tr w14:paraId="16AD2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Merge w:val="restart"/>
            <w:vAlign w:val="center"/>
          </w:tcPr>
          <w:p w14:paraId="71E4C518">
            <w:pPr>
              <w:jc w:val="center"/>
              <w:rPr>
                <w:rFonts w:hint="eastAsia" w:eastAsia="宋体"/>
                <w:szCs w:val="21"/>
                <w:lang w:eastAsia="zh-CN"/>
              </w:rPr>
            </w:pPr>
            <w:r>
              <w:rPr>
                <w:rFonts w:hint="eastAsia"/>
                <w:szCs w:val="21"/>
                <w:lang w:val="en-US" w:eastAsia="zh-CN"/>
              </w:rPr>
              <w:t>1</w:t>
            </w:r>
          </w:p>
        </w:tc>
        <w:tc>
          <w:tcPr>
            <w:tcW w:w="1058" w:type="dxa"/>
            <w:vMerge w:val="restart"/>
            <w:vAlign w:val="center"/>
          </w:tcPr>
          <w:p w14:paraId="3DFCE76B">
            <w:pPr>
              <w:jc w:val="center"/>
              <w:rPr>
                <w:szCs w:val="21"/>
              </w:rPr>
            </w:pPr>
            <w:r>
              <w:rPr>
                <w:szCs w:val="21"/>
              </w:rPr>
              <w:t>资格评审标准</w:t>
            </w:r>
          </w:p>
        </w:tc>
        <w:tc>
          <w:tcPr>
            <w:tcW w:w="2327" w:type="dxa"/>
            <w:vAlign w:val="center"/>
          </w:tcPr>
          <w:p w14:paraId="32645E1D">
            <w:pPr>
              <w:jc w:val="center"/>
              <w:rPr>
                <w:szCs w:val="21"/>
              </w:rPr>
            </w:pPr>
            <w:r>
              <w:rPr>
                <w:szCs w:val="21"/>
              </w:rPr>
              <w:t>营业执照（或事业单位法人证书）</w:t>
            </w:r>
          </w:p>
        </w:tc>
        <w:tc>
          <w:tcPr>
            <w:tcW w:w="5658" w:type="dxa"/>
            <w:vAlign w:val="center"/>
          </w:tcPr>
          <w:p w14:paraId="3F169F87">
            <w:pPr>
              <w:rPr>
                <w:rFonts w:hint="default" w:eastAsia="宋体"/>
                <w:szCs w:val="21"/>
                <w:lang w:val="en-US" w:eastAsia="zh-CN"/>
              </w:rPr>
            </w:pPr>
            <w:r>
              <w:rPr>
                <w:rFonts w:hint="eastAsia"/>
                <w:szCs w:val="21"/>
                <w:lang w:val="en-US" w:eastAsia="zh-CN"/>
              </w:rPr>
              <w:t>具备营业执照</w:t>
            </w:r>
            <w:r>
              <w:rPr>
                <w:szCs w:val="21"/>
              </w:rPr>
              <w:t>（或事业单位法人证书）</w:t>
            </w:r>
          </w:p>
        </w:tc>
      </w:tr>
      <w:tr w14:paraId="16DB1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46" w:type="dxa"/>
            <w:vMerge w:val="continue"/>
            <w:vAlign w:val="center"/>
          </w:tcPr>
          <w:p w14:paraId="4E252094">
            <w:pPr>
              <w:rPr>
                <w:szCs w:val="21"/>
              </w:rPr>
            </w:pPr>
          </w:p>
        </w:tc>
        <w:tc>
          <w:tcPr>
            <w:tcW w:w="1058" w:type="dxa"/>
            <w:vMerge w:val="continue"/>
            <w:vAlign w:val="center"/>
          </w:tcPr>
          <w:p w14:paraId="6E8C5F91">
            <w:pPr>
              <w:rPr>
                <w:szCs w:val="21"/>
              </w:rPr>
            </w:pPr>
          </w:p>
        </w:tc>
        <w:tc>
          <w:tcPr>
            <w:tcW w:w="2327" w:type="dxa"/>
            <w:vAlign w:val="center"/>
          </w:tcPr>
          <w:p w14:paraId="362C6BBF">
            <w:pPr>
              <w:jc w:val="center"/>
              <w:rPr>
                <w:szCs w:val="21"/>
              </w:rPr>
            </w:pPr>
            <w:r>
              <w:rPr>
                <w:szCs w:val="21"/>
              </w:rPr>
              <w:t>资质要求</w:t>
            </w:r>
          </w:p>
        </w:tc>
        <w:tc>
          <w:tcPr>
            <w:tcW w:w="5658" w:type="dxa"/>
            <w:vAlign w:val="center"/>
          </w:tcPr>
          <w:p w14:paraId="41D2C436">
            <w:pPr>
              <w:rPr>
                <w:rFonts w:hint="default" w:eastAsia="宋体"/>
                <w:szCs w:val="21"/>
                <w:lang w:val="en-US" w:eastAsia="zh-CN"/>
              </w:rPr>
            </w:pPr>
            <w:r>
              <w:rPr>
                <w:rFonts w:hint="eastAsia"/>
                <w:szCs w:val="21"/>
                <w:lang w:val="en-US" w:eastAsia="zh-CN"/>
              </w:rPr>
              <w:t>具备</w:t>
            </w:r>
            <w:r>
              <w:rPr>
                <w:rFonts w:hint="eastAsia"/>
                <w:szCs w:val="21"/>
              </w:rPr>
              <w:t>地质灾害防治单位资质证书</w:t>
            </w:r>
            <w:r>
              <w:rPr>
                <w:rFonts w:hint="eastAsia"/>
                <w:szCs w:val="21"/>
                <w:lang w:val="en-US" w:eastAsia="zh-CN"/>
              </w:rPr>
              <w:t>甲级资质</w:t>
            </w:r>
            <w:r>
              <w:rPr>
                <w:rFonts w:hint="eastAsia"/>
                <w:szCs w:val="21"/>
                <w:lang w:eastAsia="zh-CN"/>
              </w:rPr>
              <w:t>，</w:t>
            </w:r>
            <w:r>
              <w:rPr>
                <w:rFonts w:hint="eastAsia"/>
                <w:szCs w:val="21"/>
                <w:lang w:val="en-US" w:eastAsia="zh-CN"/>
              </w:rPr>
              <w:t>其中资质类别为：地质灾害评估和治理工程勘查设计。</w:t>
            </w:r>
          </w:p>
        </w:tc>
      </w:tr>
    </w:tbl>
    <w:p w14:paraId="16352FC2">
      <w:pPr>
        <w:pStyle w:val="2"/>
        <w:rPr>
          <w:rFonts w:hint="eastAsia" w:ascii="楷体" w:hAnsi="楷体" w:eastAsia="楷体" w:cs="楷体"/>
          <w:iCs/>
          <w:sz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YzQ2MzkxYzNlMmFlODI4MDY1MjNiZTE1NmRlNzMifQ=="/>
  </w:docVars>
  <w:rsids>
    <w:rsidRoot w:val="00045B40"/>
    <w:rsid w:val="00045B40"/>
    <w:rsid w:val="00264B74"/>
    <w:rsid w:val="00446696"/>
    <w:rsid w:val="00610486"/>
    <w:rsid w:val="00AE4848"/>
    <w:rsid w:val="00B4504C"/>
    <w:rsid w:val="00D31D52"/>
    <w:rsid w:val="010F5A16"/>
    <w:rsid w:val="029857E5"/>
    <w:rsid w:val="032B371C"/>
    <w:rsid w:val="05E37589"/>
    <w:rsid w:val="07866751"/>
    <w:rsid w:val="09EF09C1"/>
    <w:rsid w:val="0A104C28"/>
    <w:rsid w:val="0A1E7C13"/>
    <w:rsid w:val="0A5A5D33"/>
    <w:rsid w:val="0B097861"/>
    <w:rsid w:val="0C56480F"/>
    <w:rsid w:val="0D2C0BA2"/>
    <w:rsid w:val="0DD243BD"/>
    <w:rsid w:val="10223E36"/>
    <w:rsid w:val="1082319E"/>
    <w:rsid w:val="15386004"/>
    <w:rsid w:val="1631217B"/>
    <w:rsid w:val="168B79C1"/>
    <w:rsid w:val="17D42DD1"/>
    <w:rsid w:val="18AE380C"/>
    <w:rsid w:val="1A9941A4"/>
    <w:rsid w:val="1ADC22EE"/>
    <w:rsid w:val="1B585CBB"/>
    <w:rsid w:val="1F825FD3"/>
    <w:rsid w:val="2042267C"/>
    <w:rsid w:val="24F163FA"/>
    <w:rsid w:val="25936D00"/>
    <w:rsid w:val="2681564B"/>
    <w:rsid w:val="28E5380B"/>
    <w:rsid w:val="2AB236F8"/>
    <w:rsid w:val="2D2E420C"/>
    <w:rsid w:val="31207512"/>
    <w:rsid w:val="328425C8"/>
    <w:rsid w:val="35FC6A17"/>
    <w:rsid w:val="368E3743"/>
    <w:rsid w:val="38646D95"/>
    <w:rsid w:val="389709D8"/>
    <w:rsid w:val="3A545B36"/>
    <w:rsid w:val="3C890A0F"/>
    <w:rsid w:val="3DF078A5"/>
    <w:rsid w:val="3F004883"/>
    <w:rsid w:val="405148C0"/>
    <w:rsid w:val="40946C7F"/>
    <w:rsid w:val="42C615B8"/>
    <w:rsid w:val="443848CF"/>
    <w:rsid w:val="449A5B3A"/>
    <w:rsid w:val="48321624"/>
    <w:rsid w:val="48910E6E"/>
    <w:rsid w:val="4C2D7C8C"/>
    <w:rsid w:val="4C740DDC"/>
    <w:rsid w:val="4D2F45DE"/>
    <w:rsid w:val="509E200B"/>
    <w:rsid w:val="52CF14E8"/>
    <w:rsid w:val="53291BD1"/>
    <w:rsid w:val="53876131"/>
    <w:rsid w:val="53BB6561"/>
    <w:rsid w:val="54794F9F"/>
    <w:rsid w:val="551C5120"/>
    <w:rsid w:val="56212FD8"/>
    <w:rsid w:val="5A76335E"/>
    <w:rsid w:val="5C076A71"/>
    <w:rsid w:val="5EF601F8"/>
    <w:rsid w:val="60C32C03"/>
    <w:rsid w:val="648A46E4"/>
    <w:rsid w:val="64B13571"/>
    <w:rsid w:val="65211DBC"/>
    <w:rsid w:val="6AF9611F"/>
    <w:rsid w:val="6CC93498"/>
    <w:rsid w:val="6CE1553E"/>
    <w:rsid w:val="6D0C0FA9"/>
    <w:rsid w:val="6D1D4C23"/>
    <w:rsid w:val="6E434AB9"/>
    <w:rsid w:val="6F392F8E"/>
    <w:rsid w:val="6F426839"/>
    <w:rsid w:val="720E29E9"/>
    <w:rsid w:val="72A8130B"/>
    <w:rsid w:val="74F730EE"/>
    <w:rsid w:val="75D845A5"/>
    <w:rsid w:val="7801696F"/>
    <w:rsid w:val="79030AAF"/>
    <w:rsid w:val="7A1B0353"/>
    <w:rsid w:val="7B431B17"/>
    <w:rsid w:val="7C2E7F49"/>
    <w:rsid w:val="7D0C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11"/>
    <w:autoRedefine/>
    <w:qFormat/>
    <w:uiPriority w:val="0"/>
    <w:pPr>
      <w:keepNext/>
      <w:keepLines/>
      <w:spacing w:before="260" w:after="260" w:line="413" w:lineRule="auto"/>
      <w:ind w:firstLine="200" w:firstLineChars="200"/>
      <w:outlineLvl w:val="2"/>
    </w:pPr>
    <w:rPr>
      <w:bCs/>
      <w:kern w:val="0"/>
      <w:sz w:val="24"/>
      <w:szCs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style>
  <w:style w:type="paragraph" w:styleId="3">
    <w:name w:val="Body Text"/>
    <w:basedOn w:val="1"/>
    <w:next w:val="1"/>
    <w:qFormat/>
    <w:uiPriority w:val="0"/>
    <w:pPr>
      <w:spacing w:after="120"/>
    </w:pPr>
    <w:rPr>
      <w:szCs w:val="24"/>
    </w:rPr>
  </w:style>
  <w:style w:type="paragraph" w:styleId="5">
    <w:name w:val="Normal Indent"/>
    <w:basedOn w:val="1"/>
    <w:next w:val="1"/>
    <w:autoRedefine/>
    <w:qFormat/>
    <w:uiPriority w:val="0"/>
    <w:pPr>
      <w:ind w:firstLine="420"/>
    </w:pPr>
    <w:rPr>
      <w:rFonts w:eastAsia="宋体"/>
      <w:kern w:val="2"/>
      <w:sz w:val="21"/>
      <w:lang w:val="en-US" w:eastAsia="zh-CN" w:bidi="ar-SA"/>
    </w:rPr>
  </w:style>
  <w:style w:type="paragraph" w:styleId="6">
    <w:name w:val="Plain Text"/>
    <w:basedOn w:val="1"/>
    <w:next w:val="1"/>
    <w:qFormat/>
    <w:uiPriority w:val="0"/>
    <w:rPr>
      <w:rFonts w:ascii="宋体" w:hAnsi="Calibri"/>
    </w:rPr>
  </w:style>
  <w:style w:type="paragraph" w:styleId="7">
    <w:name w:val="Normal (Web)"/>
    <w:basedOn w:val="1"/>
    <w:semiHidden/>
    <w:unhideWhenUsed/>
    <w:qFormat/>
    <w:uiPriority w:val="99"/>
    <w:rPr>
      <w:sz w:val="24"/>
    </w:rPr>
  </w:style>
  <w:style w:type="character" w:styleId="10">
    <w:name w:val="Strong"/>
    <w:basedOn w:val="9"/>
    <w:autoRedefine/>
    <w:qFormat/>
    <w:uiPriority w:val="0"/>
    <w:rPr>
      <w:b/>
    </w:rPr>
  </w:style>
  <w:style w:type="character" w:customStyle="1" w:styleId="11">
    <w:name w:val="标题 3 Char"/>
    <w:basedOn w:val="9"/>
    <w:link w:val="4"/>
    <w:autoRedefine/>
    <w:qFormat/>
    <w:uiPriority w:val="0"/>
    <w:rPr>
      <w:rFonts w:ascii="Times New Roman" w:hAnsi="Times New Roman" w:eastAsia="宋体" w:cs="Times New Roman"/>
      <w:bCs/>
      <w:kern w:val="0"/>
      <w:sz w:val="24"/>
      <w:szCs w:val="32"/>
    </w:rPr>
  </w:style>
  <w:style w:type="character" w:customStyle="1" w:styleId="12">
    <w:name w:val="NormalCharacter"/>
    <w:link w:val="1"/>
    <w:autoRedefine/>
    <w:qFormat/>
    <w:uiPriority w:val="0"/>
    <w:rPr>
      <w:rFonts w:ascii="Times New Roman" w:hAnsi="Times New Roman" w:eastAsia="宋体" w:cs="Times New Roman"/>
      <w:kern w:val="2"/>
      <w:sz w:val="21"/>
      <w:szCs w:val="24"/>
      <w:lang w:val="en-US" w:eastAsia="zh-CN" w:bidi="ar-SA"/>
    </w:rPr>
  </w:style>
  <w:style w:type="paragraph" w:customStyle="1" w:styleId="13">
    <w:name w:val="Text"/>
    <w:autoRedefine/>
    <w:qFormat/>
    <w:uiPriority w:val="0"/>
    <w:pPr>
      <w:spacing w:line="315" w:lineRule="auto"/>
    </w:pPr>
    <w:rPr>
      <w:rFonts w:ascii="宋体" w:hAnsi="宋体" w:eastAsia="宋体" w:cs="宋体"/>
      <w:color w:val="000000"/>
      <w:sz w:val="21"/>
      <w:lang w:val="en-US" w:eastAsia="en-US"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微软用户</Company>
  <Pages>3</Pages>
  <Words>2091</Words>
  <Characters>2170</Characters>
  <Lines>17</Lines>
  <Paragraphs>5</Paragraphs>
  <TotalTime>93</TotalTime>
  <ScaleCrop>false</ScaleCrop>
  <LinksUpToDate>false</LinksUpToDate>
  <CharactersWithSpaces>2206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2017-05-02T07:38:00Z</dcterms:created>
  <dc:creator>微软中国</dc:creator>
  <cp:lastModifiedBy>俊杰</cp:lastModifiedBy>
  <cp:lastPrinted>2025-04-24T07:28:08Z</cp:lastPrinted>
  <dcterms:modified xsi:type="dcterms:W3CDTF">2025-04-24T09:27:46Z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26FB61E9B0E44C7390432411372DAE21_13</vt:lpwstr>
  </property>
  <property fmtid="{D5CDD505-2E9C-101B-9397-08002B2CF9AE}" pid="4" name="KSOTemplateDocerSaveRecord">
    <vt:lpwstr>eyJoZGlkIjoiZDY4OTQzMDZiNDJiZjFiNGI3MTc0YTRkOGRmODNmNTUiLCJ1c2VySWQiOiIyMDQyMTMxMzUifQ==</vt:lpwstr>
  </property>
</Properties>
</file>