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F8C5E">
      <w:pPr>
        <w:spacing w:before="100" w:beforeAutospacing="1" w:after="100" w:afterAutospacing="1" w:line="240" w:lineRule="auto"/>
        <w:jc w:val="center"/>
        <w:outlineLvl w:val="0"/>
        <w:rPr>
          <w:rFonts w:hint="eastAsia" w:ascii="仿宋" w:hAnsi="仿宋" w:eastAsia="仿宋" w:cs="仿宋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6"/>
          <w:szCs w:val="36"/>
          <w:highlight w:val="none"/>
          <w:lang w:val="en-US" w:eastAsia="zh-CN"/>
        </w:rPr>
        <w:t>评分规则</w:t>
      </w:r>
    </w:p>
    <w:p w14:paraId="371C7FC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本项目采用综合评分法</w:t>
      </w:r>
      <w:r>
        <w:rPr>
          <w:rFonts w:hint="eastAsia" w:ascii="仿宋" w:hAnsi="仿宋" w:eastAsia="仿宋" w:cs="仿宋"/>
          <w:i/>
          <w:color w:val="auto"/>
          <w:szCs w:val="21"/>
          <w:highlight w:val="none"/>
        </w:rPr>
        <w:t>。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商务、技术（服务）及价格评审权重及分值如下：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2458"/>
        <w:gridCol w:w="2666"/>
        <w:gridCol w:w="2339"/>
      </w:tblGrid>
      <w:tr w14:paraId="7EF9B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5" w:type="dxa"/>
            <w:noWrap w:val="0"/>
            <w:vAlign w:val="top"/>
          </w:tcPr>
          <w:p w14:paraId="4F97FA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Cs w:val="21"/>
                <w:highlight w:val="none"/>
                <w:lang w:val="zh-CN"/>
              </w:rPr>
              <w:t>内容</w:t>
            </w:r>
          </w:p>
        </w:tc>
        <w:tc>
          <w:tcPr>
            <w:tcW w:w="2458" w:type="dxa"/>
            <w:noWrap w:val="0"/>
            <w:vAlign w:val="top"/>
          </w:tcPr>
          <w:p w14:paraId="25680B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Cs w:val="21"/>
                <w:highlight w:val="none"/>
                <w:lang w:val="zh-CN"/>
              </w:rPr>
              <w:t>商务部分</w:t>
            </w:r>
          </w:p>
        </w:tc>
        <w:tc>
          <w:tcPr>
            <w:tcW w:w="2666" w:type="dxa"/>
            <w:noWrap w:val="0"/>
            <w:vAlign w:val="top"/>
          </w:tcPr>
          <w:p w14:paraId="3E0BE7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Cs w:val="21"/>
                <w:highlight w:val="none"/>
                <w:lang w:val="zh-CN"/>
              </w:rPr>
              <w:t>技术（服务）部分</w:t>
            </w:r>
          </w:p>
        </w:tc>
        <w:tc>
          <w:tcPr>
            <w:tcW w:w="2339" w:type="dxa"/>
            <w:noWrap w:val="0"/>
            <w:vAlign w:val="top"/>
          </w:tcPr>
          <w:p w14:paraId="19EBCE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Cs w:val="21"/>
                <w:highlight w:val="none"/>
                <w:lang w:val="zh-CN"/>
              </w:rPr>
              <w:t>价格部分</w:t>
            </w:r>
          </w:p>
        </w:tc>
      </w:tr>
      <w:tr w14:paraId="42709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5" w:type="dxa"/>
            <w:noWrap w:val="0"/>
            <w:vAlign w:val="top"/>
          </w:tcPr>
          <w:p w14:paraId="6693EF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zh-CN"/>
              </w:rPr>
              <w:t>权重</w:t>
            </w:r>
          </w:p>
        </w:tc>
        <w:tc>
          <w:tcPr>
            <w:tcW w:w="2458" w:type="dxa"/>
            <w:noWrap w:val="0"/>
            <w:vAlign w:val="center"/>
          </w:tcPr>
          <w:p w14:paraId="268833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/>
              </w:rPr>
              <w:t>36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zh-CN"/>
              </w:rPr>
              <w:t>%</w:t>
            </w:r>
          </w:p>
        </w:tc>
        <w:tc>
          <w:tcPr>
            <w:tcW w:w="2666" w:type="dxa"/>
            <w:noWrap w:val="0"/>
            <w:vAlign w:val="center"/>
          </w:tcPr>
          <w:p w14:paraId="7B9494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/>
              </w:rPr>
              <w:t>54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zh-CN"/>
              </w:rPr>
              <w:t>%</w:t>
            </w:r>
          </w:p>
        </w:tc>
        <w:tc>
          <w:tcPr>
            <w:tcW w:w="2339" w:type="dxa"/>
            <w:noWrap w:val="0"/>
            <w:vAlign w:val="center"/>
          </w:tcPr>
          <w:p w14:paraId="22621E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zh-CN"/>
              </w:rPr>
              <w:t>0%</w:t>
            </w:r>
          </w:p>
        </w:tc>
      </w:tr>
      <w:tr w14:paraId="06A37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195" w:type="dxa"/>
            <w:noWrap w:val="0"/>
            <w:vAlign w:val="top"/>
          </w:tcPr>
          <w:p w14:paraId="71F7D5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zh-CN"/>
              </w:rPr>
              <w:t>分值</w:t>
            </w:r>
          </w:p>
        </w:tc>
        <w:tc>
          <w:tcPr>
            <w:tcW w:w="2458" w:type="dxa"/>
            <w:noWrap w:val="0"/>
            <w:vAlign w:val="top"/>
          </w:tcPr>
          <w:p w14:paraId="256813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36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分</w:t>
            </w:r>
          </w:p>
        </w:tc>
        <w:tc>
          <w:tcPr>
            <w:tcW w:w="2666" w:type="dxa"/>
            <w:noWrap w:val="0"/>
            <w:vAlign w:val="top"/>
          </w:tcPr>
          <w:p w14:paraId="022F23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54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分</w:t>
            </w:r>
          </w:p>
        </w:tc>
        <w:tc>
          <w:tcPr>
            <w:tcW w:w="2339" w:type="dxa"/>
            <w:noWrap w:val="0"/>
            <w:vAlign w:val="top"/>
          </w:tcPr>
          <w:p w14:paraId="1C6D87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0分</w:t>
            </w:r>
          </w:p>
        </w:tc>
      </w:tr>
    </w:tbl>
    <w:p w14:paraId="1A57A761">
      <w:pPr>
        <w:spacing w:line="360" w:lineRule="auto"/>
        <w:outlineLvl w:val="9"/>
        <w:rPr>
          <w:rFonts w:hint="eastAsia" w:ascii="仿宋" w:hAnsi="仿宋" w:eastAsia="仿宋" w:cs="仿宋"/>
          <w:b/>
          <w:color w:val="auto"/>
          <w:kern w:val="2"/>
          <w:sz w:val="21"/>
          <w:szCs w:val="21"/>
          <w:highlight w:val="none"/>
          <w:lang w:val="en-US" w:eastAsia="zh-CN" w:bidi="ar-SA"/>
        </w:rPr>
      </w:pPr>
    </w:p>
    <w:p w14:paraId="38123703">
      <w:pPr>
        <w:spacing w:line="300" w:lineRule="auto"/>
        <w:rPr>
          <w:rFonts w:hint="eastAsia" w:ascii="仿宋" w:hAnsi="仿宋" w:eastAsia="仿宋" w:cs="仿宋"/>
          <w:b/>
          <w:color w:val="auto"/>
          <w:highlight w:val="none"/>
        </w:rPr>
      </w:pPr>
    </w:p>
    <w:p w14:paraId="6259A8CD">
      <w:pPr>
        <w:pStyle w:val="3"/>
        <w:adjustRightInd w:val="0"/>
        <w:snapToGrid w:val="0"/>
        <w:spacing w:line="300" w:lineRule="auto"/>
        <w:outlineLvl w:val="1"/>
        <w:rPr>
          <w:rFonts w:hint="eastAsia" w:ascii="仿宋" w:hAnsi="仿宋" w:eastAsia="仿宋" w:cs="仿宋"/>
          <w:b/>
          <w:color w:val="auto"/>
          <w:highlight w:val="none"/>
        </w:rPr>
      </w:pPr>
      <w:bookmarkStart w:id="0" w:name="_Toc22103"/>
      <w:r>
        <w:rPr>
          <w:rFonts w:hint="eastAsia" w:ascii="仿宋" w:hAnsi="仿宋" w:eastAsia="仿宋" w:cs="仿宋"/>
          <w:b/>
          <w:color w:val="auto"/>
          <w:highlight w:val="none"/>
        </w:rPr>
        <w:t>附表</w:t>
      </w:r>
      <w:r>
        <w:rPr>
          <w:rFonts w:hint="eastAsia" w:ascii="仿宋" w:hAnsi="仿宋" w:eastAsia="仿宋" w:cs="仿宋"/>
          <w:b/>
          <w:color w:val="auto"/>
          <w:highlight w:val="none"/>
          <w:lang w:val="en-US" w:eastAsia="zh-CN"/>
        </w:rPr>
        <w:t xml:space="preserve">二 </w:t>
      </w:r>
      <w:r>
        <w:rPr>
          <w:rFonts w:hint="eastAsia" w:ascii="仿宋" w:hAnsi="仿宋" w:eastAsia="仿宋" w:cs="仿宋"/>
          <w:b/>
          <w:color w:val="auto"/>
          <w:highlight w:val="none"/>
        </w:rPr>
        <w:t>商务评分表</w:t>
      </w:r>
      <w:bookmarkEnd w:id="0"/>
    </w:p>
    <w:p w14:paraId="3158D1AE">
      <w:pPr>
        <w:tabs>
          <w:tab w:val="left" w:pos="720"/>
        </w:tabs>
        <w:spacing w:line="300" w:lineRule="auto"/>
        <w:ind w:firstLine="4533" w:firstLineChars="2150"/>
        <w:rPr>
          <w:rFonts w:hint="eastAsia" w:ascii="仿宋" w:hAnsi="仿宋" w:eastAsia="仿宋" w:cs="仿宋"/>
          <w:b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0"/>
          <w:szCs w:val="21"/>
          <w:highlight w:val="none"/>
        </w:rPr>
        <w:t>商务评分表</w:t>
      </w:r>
    </w:p>
    <w:tbl>
      <w:tblPr>
        <w:tblStyle w:val="6"/>
        <w:tblW w:w="94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110"/>
        <w:gridCol w:w="6623"/>
        <w:gridCol w:w="999"/>
      </w:tblGrid>
      <w:tr w14:paraId="1EA78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E85CBD">
            <w:pPr>
              <w:adjustRightInd w:val="0"/>
              <w:snapToGrid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F6126A">
            <w:pPr>
              <w:adjustRightInd w:val="0"/>
              <w:snapToGrid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</w:rPr>
              <w:t>评审项目</w:t>
            </w:r>
          </w:p>
        </w:tc>
        <w:tc>
          <w:tcPr>
            <w:tcW w:w="6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477116">
            <w:pPr>
              <w:adjustRightInd w:val="0"/>
              <w:snapToGrid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</w:rPr>
              <w:t>评审细则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6DB023">
            <w:pPr>
              <w:adjustRightInd w:val="0"/>
              <w:snapToGrid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</w:rPr>
              <w:t>分值</w:t>
            </w:r>
          </w:p>
        </w:tc>
      </w:tr>
      <w:tr w14:paraId="4D1BA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0B2E83">
            <w:pPr>
              <w:adjustRightInd w:val="0"/>
              <w:snapToGrid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589977">
            <w:pPr>
              <w:pStyle w:val="9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同类项目经验</w:t>
            </w:r>
          </w:p>
        </w:tc>
        <w:tc>
          <w:tcPr>
            <w:tcW w:w="6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C5AA1E8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供应商提供202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1月1日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 xml:space="preserve">以来（以合同签订时间为准）的同类项目业绩，每提供一个满足要求的项目业绩得2分，此项最高得10分。 </w:t>
            </w:r>
          </w:p>
          <w:p w14:paraId="616E7C8F">
            <w:pPr>
              <w:pStyle w:val="2"/>
              <w:spacing w:line="36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注：须提供合同关键页（含签订合同双方的单位名称、合同项目名称、项目金额与含签订合同双方的落款盖章、签订日期的关键页）加盖投标人公章作为类似业绩评价证明资料，不提供不得分。</w:t>
            </w:r>
          </w:p>
          <w:p w14:paraId="3F2AC6D3">
            <w:pPr>
              <w:pStyle w:val="9"/>
              <w:spacing w:line="360" w:lineRule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同一用户单位的多个类似经验仅对一个类似经验计分，不重复计分。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C8C2AB">
            <w:pPr>
              <w:adjustRightInd w:val="0"/>
              <w:snapToGrid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  <w:t>10</w:t>
            </w:r>
          </w:p>
        </w:tc>
      </w:tr>
      <w:tr w14:paraId="4DCF8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E5C5BB">
            <w:pPr>
              <w:adjustRightInd w:val="0"/>
              <w:snapToGrid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283842">
            <w:pPr>
              <w:pStyle w:val="9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客户满意度情况</w:t>
            </w:r>
          </w:p>
        </w:tc>
        <w:tc>
          <w:tcPr>
            <w:tcW w:w="6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54C3404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投标人提供符合上述要求的2022年1月1日至今的同类项目业绩的用户单位出具的满意度评价，评价情况至少须为正面评价（优秀、优良、良好、满意或相当于正面评价）的方可计分： 每提供一项得2分，最高10分。</w:t>
            </w:r>
          </w:p>
          <w:p w14:paraId="2A65DACB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 xml:space="preserve">注：①须与投标人上述提供的2022年1月1日至今的同类项目经验的用户单位一致； </w:t>
            </w:r>
          </w:p>
          <w:p w14:paraId="2FA52C3A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②用户满意度评价须经用户单位盖章，评价情况至少须为正面评价的方可计分。</w:t>
            </w:r>
            <w:bookmarkStart w:id="2" w:name="_GoBack"/>
            <w:bookmarkEnd w:id="2"/>
          </w:p>
          <w:p w14:paraId="5E6BB4BA">
            <w:pPr>
              <w:pStyle w:val="9"/>
              <w:spacing w:line="360" w:lineRule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③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同一用户单位的多个满意度评价，只计算为一个评价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1FEDE7">
            <w:pPr>
              <w:adjustRightInd w:val="0"/>
              <w:snapToGrid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</w:tr>
      <w:tr w14:paraId="2F6F6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C9BB15">
            <w:pPr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0545A7">
            <w:pPr>
              <w:pStyle w:val="9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风险防范培训经验</w:t>
            </w:r>
          </w:p>
        </w:tc>
        <w:tc>
          <w:tcPr>
            <w:tcW w:w="6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C8F60B6">
            <w:pPr>
              <w:pStyle w:val="9"/>
              <w:numPr>
                <w:ilvl w:val="0"/>
                <w:numId w:val="0"/>
              </w:numPr>
              <w:tabs>
                <w:tab w:val="left" w:pos="312"/>
              </w:tabs>
              <w:spacing w:line="360" w:lineRule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投标人具备安排风险防范培训能力，对投标人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组织开展的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培训服务情况进行评审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302CF25A">
            <w:pPr>
              <w:pStyle w:val="9"/>
              <w:numPr>
                <w:ilvl w:val="0"/>
                <w:numId w:val="0"/>
              </w:numPr>
              <w:tabs>
                <w:tab w:val="left" w:pos="312"/>
              </w:tabs>
              <w:spacing w:line="360" w:lineRule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注：提供为医疗机构安排专家培训的邀请函或沟通函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或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培训现场照片，每提供一份得1分，最高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分。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768386">
            <w:pPr>
              <w:adjustRightInd w:val="0"/>
              <w:snapToGrid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</w:tr>
      <w:tr w14:paraId="37692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3DC842">
            <w:pPr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D7BDD0">
            <w:pPr>
              <w:pStyle w:val="9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社会评价或荣誉</w:t>
            </w:r>
          </w:p>
        </w:tc>
        <w:tc>
          <w:tcPr>
            <w:tcW w:w="6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9F456D8">
            <w:pPr>
              <w:pStyle w:val="9"/>
              <w:numPr>
                <w:ilvl w:val="0"/>
                <w:numId w:val="0"/>
              </w:numPr>
              <w:tabs>
                <w:tab w:val="left" w:pos="1733"/>
              </w:tabs>
              <w:spacing w:line="360" w:lineRule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投标人获得有关医疗纠纷、平安医院、风险防范培训相关的荣誉，提供相关评审单位的证书或评审结果，且获得“优秀”评价证明材料，每提供一份得3分，最高得6分。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D8F724">
            <w:pPr>
              <w:adjustRightInd w:val="0"/>
              <w:snapToGrid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</w:tr>
      <w:tr w14:paraId="55E70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657B5C">
            <w:pPr>
              <w:adjustRightInd w:val="0"/>
              <w:snapToGrid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</w:rPr>
              <w:t>合计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7AAA8F">
            <w:pPr>
              <w:adjustRightInd w:val="0"/>
              <w:snapToGrid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36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  <w:t>分</w:t>
            </w:r>
          </w:p>
        </w:tc>
      </w:tr>
    </w:tbl>
    <w:p w14:paraId="40F9DF69">
      <w:pPr>
        <w:spacing w:line="300" w:lineRule="auto"/>
        <w:rPr>
          <w:rFonts w:hint="eastAsia" w:ascii="仿宋" w:hAnsi="仿宋" w:eastAsia="仿宋" w:cs="仿宋"/>
          <w:b/>
          <w:color w:val="auto"/>
          <w:highlight w:val="none"/>
        </w:rPr>
      </w:pPr>
    </w:p>
    <w:p w14:paraId="79B11955">
      <w:pPr>
        <w:spacing w:line="300" w:lineRule="auto"/>
        <w:outlineLvl w:val="1"/>
        <w:rPr>
          <w:rFonts w:hint="eastAsia" w:ascii="仿宋" w:hAnsi="仿宋" w:eastAsia="仿宋" w:cs="仿宋"/>
          <w:b/>
          <w:color w:val="auto"/>
          <w:highlight w:val="none"/>
        </w:rPr>
      </w:pPr>
      <w:bookmarkStart w:id="1" w:name="_Toc31988"/>
      <w:r>
        <w:rPr>
          <w:rFonts w:hint="eastAsia" w:ascii="仿宋" w:hAnsi="仿宋" w:eastAsia="仿宋" w:cs="仿宋"/>
          <w:b/>
          <w:color w:val="auto"/>
          <w:highlight w:val="none"/>
        </w:rPr>
        <w:t>附表</w:t>
      </w:r>
      <w:r>
        <w:rPr>
          <w:rFonts w:hint="eastAsia" w:ascii="仿宋" w:hAnsi="仿宋" w:eastAsia="仿宋" w:cs="仿宋"/>
          <w:b/>
          <w:color w:val="auto"/>
          <w:highlight w:val="none"/>
          <w:lang w:val="en-US" w:eastAsia="zh-CN"/>
        </w:rPr>
        <w:t xml:space="preserve">三 </w:t>
      </w:r>
      <w:r>
        <w:rPr>
          <w:rFonts w:hint="eastAsia" w:ascii="仿宋" w:hAnsi="仿宋" w:eastAsia="仿宋" w:cs="仿宋"/>
          <w:b/>
          <w:color w:val="auto"/>
          <w:highlight w:val="none"/>
        </w:rPr>
        <w:t>技术（服务）评分表</w:t>
      </w:r>
      <w:bookmarkEnd w:id="1"/>
    </w:p>
    <w:p w14:paraId="412D91D5">
      <w:pPr>
        <w:tabs>
          <w:tab w:val="left" w:pos="720"/>
        </w:tabs>
        <w:spacing w:line="300" w:lineRule="auto"/>
        <w:ind w:firstLine="4216" w:firstLineChars="2000"/>
        <w:rPr>
          <w:rFonts w:hint="eastAsia" w:ascii="仿宋" w:hAnsi="仿宋" w:eastAsia="仿宋" w:cs="仿宋"/>
          <w:b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0"/>
          <w:szCs w:val="21"/>
          <w:highlight w:val="none"/>
        </w:rPr>
        <w:t>技术（服务）评分表</w:t>
      </w:r>
    </w:p>
    <w:tbl>
      <w:tblPr>
        <w:tblStyle w:val="6"/>
        <w:tblW w:w="95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2103"/>
        <w:gridCol w:w="5222"/>
        <w:gridCol w:w="1318"/>
      </w:tblGrid>
      <w:tr w14:paraId="18DE8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95" w:type="dxa"/>
            <w:noWrap/>
            <w:vAlign w:val="center"/>
          </w:tcPr>
          <w:p w14:paraId="21F12A89">
            <w:pPr>
              <w:adjustRightInd w:val="0"/>
              <w:snapToGrid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2103" w:type="dxa"/>
            <w:noWrap/>
            <w:vAlign w:val="center"/>
          </w:tcPr>
          <w:p w14:paraId="5F7958B1">
            <w:pPr>
              <w:adjustRightInd w:val="0"/>
              <w:snapToGrid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</w:rPr>
              <w:t>评审项目</w:t>
            </w:r>
          </w:p>
        </w:tc>
        <w:tc>
          <w:tcPr>
            <w:tcW w:w="5222" w:type="dxa"/>
            <w:noWrap/>
            <w:vAlign w:val="center"/>
          </w:tcPr>
          <w:p w14:paraId="6EF41E2A">
            <w:pPr>
              <w:adjustRightInd w:val="0"/>
              <w:snapToGrid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</w:rPr>
              <w:t>评审细则</w:t>
            </w:r>
          </w:p>
        </w:tc>
        <w:tc>
          <w:tcPr>
            <w:tcW w:w="1318" w:type="dxa"/>
            <w:noWrap/>
            <w:vAlign w:val="center"/>
          </w:tcPr>
          <w:p w14:paraId="4DBA213B">
            <w:pPr>
              <w:adjustRightInd w:val="0"/>
              <w:snapToGrid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</w:rPr>
              <w:t>分值</w:t>
            </w:r>
          </w:p>
        </w:tc>
      </w:tr>
      <w:tr w14:paraId="51294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95" w:type="dxa"/>
            <w:noWrap/>
            <w:vAlign w:val="center"/>
          </w:tcPr>
          <w:p w14:paraId="63F2C5DB">
            <w:pPr>
              <w:adjustRightInd w:val="0"/>
              <w:snapToGrid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2103" w:type="dxa"/>
            <w:noWrap/>
            <w:vAlign w:val="center"/>
          </w:tcPr>
          <w:p w14:paraId="4FAC32E0">
            <w:pPr>
              <w:pStyle w:val="9"/>
              <w:numPr>
                <w:ilvl w:val="0"/>
                <w:numId w:val="0"/>
              </w:numPr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投标人对采购需求中一般参数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的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响应情况</w:t>
            </w:r>
          </w:p>
        </w:tc>
        <w:tc>
          <w:tcPr>
            <w:tcW w:w="5222" w:type="dxa"/>
            <w:noWrap/>
            <w:vAlign w:val="center"/>
          </w:tcPr>
          <w:p w14:paraId="55FEE755">
            <w:pPr>
              <w:pStyle w:val="9"/>
              <w:numPr>
                <w:ilvl w:val="0"/>
                <w:numId w:val="0"/>
              </w:numPr>
              <w:spacing w:line="360" w:lineRule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一般技术条款的响应情况：根据各投标人对《第二章采购需求》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商务评分中已有的评分要求除外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中未标注“★”或“▲”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的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响应情况进行评审（以每个序号分别作为一项）：一般参数条款完全满足或优于的，得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分；每有1项负偏离或不完全满足的扣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分，负偏离或不完全满足的超过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项的视为对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采购需求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有较大偏离，统一得0分。</w:t>
            </w:r>
          </w:p>
          <w:p w14:paraId="5D0EBB34">
            <w:pPr>
              <w:pStyle w:val="9"/>
              <w:numPr>
                <w:ilvl w:val="0"/>
                <w:numId w:val="0"/>
              </w:numPr>
              <w:spacing w:line="360" w:lineRule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注：如有明确提供的证明资料，则以要求的为准，未按要求提供证明材料的不得分；如无明确证明材料的，以投标人响应文件中的《一般条款响应表》中的响应情况填写内容为准，未填写或不满足的视为负偏离。</w:t>
            </w:r>
          </w:p>
        </w:tc>
        <w:tc>
          <w:tcPr>
            <w:tcW w:w="1318" w:type="dxa"/>
            <w:noWrap/>
            <w:vAlign w:val="center"/>
          </w:tcPr>
          <w:p w14:paraId="31F6FFC5">
            <w:pPr>
              <w:adjustRightInd w:val="0"/>
              <w:snapToGrid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  <w:t>10</w:t>
            </w:r>
          </w:p>
        </w:tc>
      </w:tr>
      <w:tr w14:paraId="61929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95" w:type="dxa"/>
            <w:noWrap/>
            <w:vAlign w:val="center"/>
          </w:tcPr>
          <w:p w14:paraId="7BB64C6C">
            <w:pPr>
              <w:adjustRightInd w:val="0"/>
              <w:snapToGrid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103" w:type="dxa"/>
            <w:noWrap/>
            <w:vAlign w:val="center"/>
          </w:tcPr>
          <w:p w14:paraId="1883F468">
            <w:pPr>
              <w:pStyle w:val="9"/>
              <w:numPr>
                <w:ilvl w:val="0"/>
                <w:numId w:val="0"/>
              </w:numPr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对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项目重点、难点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的分析</w:t>
            </w:r>
          </w:p>
        </w:tc>
        <w:tc>
          <w:tcPr>
            <w:tcW w:w="5222" w:type="dxa"/>
            <w:noWrap/>
            <w:vAlign w:val="center"/>
          </w:tcPr>
          <w:p w14:paraId="2AAB5A1B">
            <w:pPr>
              <w:pStyle w:val="9"/>
              <w:numPr>
                <w:ilvl w:val="0"/>
                <w:numId w:val="0"/>
              </w:numPr>
              <w:spacing w:line="360" w:lineRule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根据投标人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对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项目重点、难点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的分析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进行评审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包括但不限于①工作背景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②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对项目的理解；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③项目重点、难点理解分析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等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 xml:space="preserve">进行综合评审： </w:t>
            </w:r>
          </w:p>
          <w:p w14:paraId="51F0B905">
            <w:pPr>
              <w:pStyle w:val="9"/>
              <w:numPr>
                <w:ilvl w:val="0"/>
                <w:numId w:val="0"/>
              </w:numPr>
              <w:spacing w:line="360" w:lineRule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（1）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对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项目重点、难点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的分析到位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，内容详细，优于采购需求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的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，得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分；</w:t>
            </w:r>
          </w:p>
          <w:p w14:paraId="22E880D5">
            <w:pPr>
              <w:pStyle w:val="9"/>
              <w:numPr>
                <w:ilvl w:val="0"/>
                <w:numId w:val="0"/>
              </w:numPr>
              <w:spacing w:line="360" w:lineRule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（2）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对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项目重点、难点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的分析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较科学合理，内容较详细，满足采购需求的，得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分；</w:t>
            </w:r>
          </w:p>
          <w:p w14:paraId="2789A741">
            <w:pPr>
              <w:pStyle w:val="9"/>
              <w:numPr>
                <w:ilvl w:val="0"/>
                <w:numId w:val="0"/>
              </w:numPr>
              <w:spacing w:line="360" w:lineRule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（3）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对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项目重点、难点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的分析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一般，内容简单，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基本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满足采购需求的，得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分；</w:t>
            </w:r>
          </w:p>
          <w:p w14:paraId="5929171F">
            <w:pPr>
              <w:pStyle w:val="9"/>
              <w:numPr>
                <w:ilvl w:val="0"/>
                <w:numId w:val="0"/>
              </w:numPr>
              <w:spacing w:line="360" w:lineRule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（4）未提供相关内容的，得0分。</w:t>
            </w:r>
          </w:p>
        </w:tc>
        <w:tc>
          <w:tcPr>
            <w:tcW w:w="1318" w:type="dxa"/>
            <w:noWrap/>
            <w:vAlign w:val="center"/>
          </w:tcPr>
          <w:p w14:paraId="2A2A7CD9">
            <w:pPr>
              <w:adjustRightInd w:val="0"/>
              <w:snapToGrid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</w:tr>
      <w:tr w14:paraId="456AF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95" w:type="dxa"/>
            <w:noWrap/>
            <w:vAlign w:val="center"/>
          </w:tcPr>
          <w:p w14:paraId="15FEC91B">
            <w:pPr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2103" w:type="dxa"/>
            <w:noWrap/>
            <w:vAlign w:val="center"/>
          </w:tcPr>
          <w:p w14:paraId="4AD23D26">
            <w:pPr>
              <w:pStyle w:val="9"/>
              <w:numPr>
                <w:ilvl w:val="0"/>
                <w:numId w:val="0"/>
              </w:numPr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专业分析能力</w:t>
            </w:r>
          </w:p>
        </w:tc>
        <w:tc>
          <w:tcPr>
            <w:tcW w:w="5222" w:type="dxa"/>
            <w:noWrap/>
            <w:vAlign w:val="top"/>
          </w:tcPr>
          <w:p w14:paraId="2E0BD511">
            <w:pPr>
              <w:pStyle w:val="9"/>
              <w:numPr>
                <w:ilvl w:val="0"/>
                <w:numId w:val="0"/>
              </w:numPr>
              <w:spacing w:line="360" w:lineRule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根据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  <w:t>投标人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医疗纠纷案例责任分析能力进行综合评审，提供医疗纠纷案件调解建议函或分析报告书或分析意见书，每提供一份得1分，最高10分。</w:t>
            </w:r>
          </w:p>
        </w:tc>
        <w:tc>
          <w:tcPr>
            <w:tcW w:w="1318" w:type="dxa"/>
            <w:noWrap/>
            <w:vAlign w:val="center"/>
          </w:tcPr>
          <w:p w14:paraId="323BCBF5">
            <w:pPr>
              <w:adjustRightInd w:val="0"/>
              <w:snapToGrid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</w:tr>
      <w:tr w14:paraId="57695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95" w:type="dxa"/>
            <w:noWrap/>
            <w:vAlign w:val="center"/>
          </w:tcPr>
          <w:p w14:paraId="256917AA">
            <w:pPr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2103" w:type="dxa"/>
            <w:noWrap/>
            <w:vAlign w:val="center"/>
          </w:tcPr>
          <w:p w14:paraId="483E319C">
            <w:pPr>
              <w:pStyle w:val="9"/>
              <w:numPr>
                <w:ilvl w:val="0"/>
                <w:numId w:val="0"/>
              </w:numPr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项目计划及培训方案</w:t>
            </w:r>
          </w:p>
        </w:tc>
        <w:tc>
          <w:tcPr>
            <w:tcW w:w="5222" w:type="dxa"/>
            <w:noWrap/>
            <w:vAlign w:val="top"/>
          </w:tcPr>
          <w:p w14:paraId="3EDF5F9C">
            <w:pPr>
              <w:pStyle w:val="9"/>
              <w:numPr>
                <w:ilvl w:val="0"/>
                <w:numId w:val="1"/>
              </w:numPr>
              <w:spacing w:line="360" w:lineRule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对根据投标人所提项目进度计划及培训方案中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包括但不限于①项目实施的各个阶段计划、时间安排②各个阶段计划的保障措施③各个阶段计划的人员安排④具体的培训计划（包含次数、内容等）安排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进行综合评审：</w:t>
            </w:r>
          </w:p>
          <w:p w14:paraId="0F329878">
            <w:pPr>
              <w:pStyle w:val="9"/>
              <w:numPr>
                <w:ilvl w:val="0"/>
                <w:numId w:val="0"/>
              </w:numPr>
              <w:spacing w:line="360" w:lineRule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（1）提供的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进度计划及培训方案优于采购需求的，得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分；</w:t>
            </w:r>
          </w:p>
          <w:p w14:paraId="6D6243B1">
            <w:pPr>
              <w:pStyle w:val="9"/>
              <w:numPr>
                <w:ilvl w:val="0"/>
                <w:numId w:val="0"/>
              </w:numPr>
              <w:spacing w:line="360" w:lineRule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）提供的项目进度计划及培训方案满足采购需求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的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，得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分；</w:t>
            </w:r>
          </w:p>
          <w:p w14:paraId="6F5828BF">
            <w:pPr>
              <w:pStyle w:val="9"/>
              <w:numPr>
                <w:ilvl w:val="0"/>
                <w:numId w:val="0"/>
              </w:numPr>
              <w:spacing w:line="360" w:lineRule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）提供的项目进度计划及培训方案只有部分满足采购需求的，得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分；</w:t>
            </w:r>
          </w:p>
          <w:p w14:paraId="5C8C86E4">
            <w:pPr>
              <w:pStyle w:val="9"/>
              <w:numPr>
                <w:ilvl w:val="0"/>
                <w:numId w:val="0"/>
              </w:numPr>
              <w:spacing w:line="360" w:lineRule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未提供相关内容的不得分。</w:t>
            </w:r>
          </w:p>
        </w:tc>
        <w:tc>
          <w:tcPr>
            <w:tcW w:w="1318" w:type="dxa"/>
            <w:noWrap/>
            <w:vAlign w:val="center"/>
          </w:tcPr>
          <w:p w14:paraId="085F8FCE">
            <w:pPr>
              <w:adjustRightInd w:val="0"/>
              <w:snapToGrid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  <w:t>12</w:t>
            </w:r>
          </w:p>
        </w:tc>
      </w:tr>
      <w:tr w14:paraId="7F413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8" w:hRule="atLeast"/>
          <w:jc w:val="center"/>
        </w:trPr>
        <w:tc>
          <w:tcPr>
            <w:tcW w:w="895" w:type="dxa"/>
            <w:noWrap/>
            <w:vAlign w:val="center"/>
          </w:tcPr>
          <w:p w14:paraId="42F5B27A">
            <w:pPr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2103" w:type="dxa"/>
            <w:noWrap/>
            <w:vAlign w:val="center"/>
          </w:tcPr>
          <w:p w14:paraId="12744EB5">
            <w:pPr>
              <w:pStyle w:val="9"/>
              <w:numPr>
                <w:ilvl w:val="0"/>
                <w:numId w:val="0"/>
              </w:numPr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项目服务人员</w:t>
            </w:r>
          </w:p>
        </w:tc>
        <w:tc>
          <w:tcPr>
            <w:tcW w:w="5222" w:type="dxa"/>
            <w:noWrap/>
            <w:vAlign w:val="top"/>
          </w:tcPr>
          <w:p w14:paraId="4A87B4B7">
            <w:pPr>
              <w:pStyle w:val="9"/>
              <w:numPr>
                <w:ilvl w:val="0"/>
                <w:numId w:val="0"/>
              </w:numPr>
              <w:spacing w:line="360" w:lineRule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服务商应针对本项目的实际需要，配备专业、高素质的服务团队。</w:t>
            </w:r>
          </w:p>
          <w:p w14:paraId="088C0512">
            <w:pPr>
              <w:pStyle w:val="9"/>
              <w:numPr>
                <w:ilvl w:val="0"/>
                <w:numId w:val="0"/>
              </w:numPr>
              <w:spacing w:line="360" w:lineRule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（1）拟投入本项目的服务人员≥5人的，得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分；拟投入本项目的服务人员有3人或4人的，得3分；拟投入本项目的服务人员有2人的，得1分；其他情况不得分。</w:t>
            </w:r>
          </w:p>
          <w:p w14:paraId="660BD02A">
            <w:pPr>
              <w:pStyle w:val="9"/>
              <w:numPr>
                <w:ilvl w:val="0"/>
                <w:numId w:val="0"/>
              </w:numPr>
              <w:spacing w:line="360" w:lineRule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）拟投入本项目的服务人员具备本科或以上医学类或法律类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专业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学历的，每人得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分，具备大专医学类或法律类专业学历的，每人得0.5分。本小项最高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分。</w:t>
            </w:r>
          </w:p>
          <w:p w14:paraId="07F14599">
            <w:pPr>
              <w:pStyle w:val="9"/>
              <w:numPr>
                <w:ilvl w:val="0"/>
                <w:numId w:val="0"/>
              </w:numPr>
              <w:spacing w:line="360" w:lineRule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注：投标文件提供上述拟投入人员相关证明材料以及投标截止之日前（不含当月）6个月内任意1个月的在投标人或其法人单位缴纳社保证明，作为评分依据。</w:t>
            </w:r>
          </w:p>
        </w:tc>
        <w:tc>
          <w:tcPr>
            <w:tcW w:w="1318" w:type="dxa"/>
            <w:noWrap/>
            <w:vAlign w:val="center"/>
          </w:tcPr>
          <w:p w14:paraId="021BDB03">
            <w:pPr>
              <w:adjustRightInd w:val="0"/>
              <w:snapToGrid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</w:tr>
      <w:tr w14:paraId="2552B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220" w:type="dxa"/>
            <w:gridSpan w:val="3"/>
            <w:noWrap/>
            <w:vAlign w:val="center"/>
          </w:tcPr>
          <w:p w14:paraId="43FDF2EE">
            <w:pPr>
              <w:adjustRightInd w:val="0"/>
              <w:snapToGrid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</w:rPr>
              <w:t>合计</w:t>
            </w:r>
          </w:p>
        </w:tc>
        <w:tc>
          <w:tcPr>
            <w:tcW w:w="1318" w:type="dxa"/>
            <w:noWrap/>
            <w:vAlign w:val="center"/>
          </w:tcPr>
          <w:p w14:paraId="1859BDD7">
            <w:pPr>
              <w:adjustRightInd w:val="0"/>
              <w:snapToGrid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54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  <w:t>分</w:t>
            </w:r>
          </w:p>
        </w:tc>
      </w:tr>
    </w:tbl>
    <w:p w14:paraId="6970B53D">
      <w:pPr>
        <w:spacing w:line="360" w:lineRule="auto"/>
        <w:rPr>
          <w:rFonts w:hint="eastAsia" w:ascii="仿宋" w:hAnsi="仿宋" w:eastAsia="仿宋" w:cs="仿宋"/>
          <w:b/>
          <w:bCs/>
          <w:color w:val="auto"/>
          <w:sz w:val="21"/>
          <w:szCs w:val="21"/>
          <w:highlight w:val="none"/>
          <w:lang w:eastAsia="zh-CN"/>
        </w:rPr>
      </w:pPr>
    </w:p>
    <w:p w14:paraId="5A9E8CA7"/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pgNumType w:fmt="decimal" w:start="1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6DF3D">
    <w:pPr>
      <w:pStyle w:val="4"/>
      <w:jc w:val="right"/>
    </w:pPr>
    <w:r>
      <w:rPr>
        <w:rStyle w:val="8"/>
        <w:rFonts w:hint="eastAsia"/>
      </w:rPr>
      <w:t xml:space="preserve">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D72056">
    <w:pPr>
      <w:pStyle w:val="5"/>
      <w:pBdr>
        <w:bottom w:val="single" w:color="auto" w:sz="4" w:space="0"/>
      </w:pBdr>
      <w:rPr>
        <w:rFonts w:hint="eastAsia" w:eastAsia="宋体"/>
        <w:color w:val="auto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301C71"/>
    <w:multiLevelType w:val="singleLevel"/>
    <w:tmpl w:val="54301C7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7A13DB"/>
    <w:rsid w:val="00D338DB"/>
    <w:rsid w:val="0B7A13DB"/>
    <w:rsid w:val="1F9A4AD4"/>
    <w:rsid w:val="50D852D8"/>
    <w:rsid w:val="5263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paragraph" w:customStyle="1" w:styleId="9">
    <w:name w:val="null3"/>
    <w:qFormat/>
    <w:uiPriority w:val="0"/>
    <w:rPr>
      <w:rFonts w:hint="eastAsia" w:ascii="Calibri" w:hAnsi="Calibri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26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2025-08-22T00:58:00Z</dcterms:created>
  <dc:creator>廖志伟</dc:creator>
  <cp:lastModifiedBy>廖志伟</cp:lastModifiedBy>
  <dcterms:modified xsi:type="dcterms:W3CDTF">2025-08-22T01:26:24Z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784E87D7C61C41EF89B6EA37A5DAB957_11</vt:lpwstr>
  </property>
  <property fmtid="{D5CDD505-2E9C-101B-9397-08002B2CF9AE}" pid="4" name="KSOTemplateDocerSaveRecord">
    <vt:lpwstr>eyJoZGlkIjoiYjk5ODM0YmMxOWJiYWQyNDU4MGIzYWRmYTA0ZmI5NDciLCJ1c2VySWQiOiIzNDM3NDc3MzQifQ==</vt:lpwstr>
  </property>
</Properties>
</file>