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1BFC">
      <w:pPr>
        <w:rPr>
          <w:rFonts w:ascii="宋体" w:hAnsi="宋体" w:eastAsia="宋体" w:cs="宋体"/>
          <w:szCs w:val="21"/>
        </w:rPr>
      </w:pPr>
    </w:p>
    <w:p w14:paraId="3964A8FE">
      <w:pPr>
        <w:jc w:val="center"/>
        <w:rPr>
          <w:rFonts w:hint="default" w:ascii="宋体" w:hAnsi="宋体" w:eastAsia="宋体" w:cs="宋体"/>
          <w:b/>
          <w:sz w:val="44"/>
          <w:szCs w:val="44"/>
          <w:lang w:val="en-US" w:eastAsia="zh-CN"/>
        </w:rPr>
      </w:pPr>
      <w:r>
        <w:rPr>
          <w:rFonts w:hint="eastAsia" w:ascii="宋体" w:hAnsi="宋体" w:eastAsia="宋体" w:cs="宋体"/>
          <w:b/>
          <w:sz w:val="44"/>
          <w:szCs w:val="44"/>
          <w:lang w:val="en-US" w:eastAsia="zh-CN"/>
        </w:rPr>
        <w:t>附件1、项</w:t>
      </w:r>
      <w:bookmarkStart w:id="7" w:name="_GoBack"/>
      <w:bookmarkEnd w:id="7"/>
      <w:r>
        <w:rPr>
          <w:rFonts w:hint="eastAsia" w:ascii="宋体" w:hAnsi="宋体" w:eastAsia="宋体" w:cs="宋体"/>
          <w:b/>
          <w:sz w:val="44"/>
          <w:szCs w:val="44"/>
          <w:lang w:val="en-US" w:eastAsia="zh-CN"/>
        </w:rPr>
        <w:t>目需求</w:t>
      </w:r>
    </w:p>
    <w:p w14:paraId="1206C273">
      <w:pPr>
        <w:rPr>
          <w:rFonts w:ascii="宋体" w:hAnsi="宋体" w:eastAsia="宋体" w:cs="宋体"/>
          <w:szCs w:val="21"/>
        </w:rPr>
      </w:pPr>
    </w:p>
    <w:p w14:paraId="6806AC83">
      <w:pPr>
        <w:rPr>
          <w:rFonts w:ascii="宋体" w:hAnsi="宋体" w:eastAsia="宋体" w:cs="宋体"/>
          <w:b/>
          <w:bCs/>
          <w:szCs w:val="21"/>
        </w:rPr>
      </w:pPr>
      <w:bookmarkStart w:id="0" w:name="_Toc226172712"/>
      <w:r>
        <w:rPr>
          <w:rFonts w:hint="eastAsia" w:ascii="宋体" w:hAnsi="宋体" w:eastAsia="宋体" w:cs="宋体"/>
          <w:b/>
          <w:bCs/>
          <w:szCs w:val="21"/>
        </w:rPr>
        <w:t>一、系统技术规格及要求</w:t>
      </w:r>
    </w:p>
    <w:p w14:paraId="4E54A2E2">
      <w:pPr>
        <w:numPr>
          <w:ilvl w:val="0"/>
          <w:numId w:val="2"/>
        </w:numPr>
        <w:rPr>
          <w:rFonts w:ascii="宋体" w:hAnsi="宋体" w:eastAsia="宋体" w:cs="宋体"/>
          <w:szCs w:val="21"/>
        </w:rPr>
      </w:pPr>
      <w:r>
        <w:rPr>
          <w:rFonts w:hint="eastAsia" w:ascii="宋体" w:hAnsi="宋体" w:eastAsia="宋体" w:cs="宋体"/>
          <w:szCs w:val="21"/>
        </w:rPr>
        <w:t>安全要求：系统服务器必须在医院指定的安全环境内安装</w:t>
      </w:r>
    </w:p>
    <w:p w14:paraId="23C48E03">
      <w:pPr>
        <w:numPr>
          <w:ilvl w:val="0"/>
          <w:numId w:val="2"/>
        </w:numPr>
        <w:rPr>
          <w:rFonts w:ascii="宋体" w:hAnsi="宋体" w:eastAsia="宋体" w:cs="宋体"/>
          <w:szCs w:val="21"/>
        </w:rPr>
      </w:pPr>
      <w:r>
        <w:rPr>
          <w:rFonts w:hint="eastAsia" w:ascii="宋体" w:hAnsi="宋体" w:eastAsia="宋体" w:cs="宋体"/>
          <w:szCs w:val="21"/>
        </w:rPr>
        <w:t>接口要求</w:t>
      </w:r>
    </w:p>
    <w:p w14:paraId="10B5F73C">
      <w:pPr>
        <w:numPr>
          <w:ilvl w:val="1"/>
          <w:numId w:val="2"/>
        </w:numPr>
        <w:rPr>
          <w:rFonts w:ascii="宋体" w:hAnsi="宋体" w:eastAsia="宋体" w:cs="宋体"/>
          <w:szCs w:val="21"/>
        </w:rPr>
      </w:pPr>
      <w:r>
        <w:rPr>
          <w:rFonts w:hint="eastAsia" w:ascii="宋体" w:hAnsi="宋体" w:eastAsia="宋体" w:cs="宋体"/>
          <w:szCs w:val="21"/>
        </w:rPr>
        <w:t>能够与医院住院电子病历对接，获取电子病历中的数据内容，包括但不限于主诉、现病史、既往史等信息。</w:t>
      </w:r>
    </w:p>
    <w:p w14:paraId="54CCC492">
      <w:pPr>
        <w:numPr>
          <w:ilvl w:val="1"/>
          <w:numId w:val="2"/>
        </w:numPr>
        <w:rPr>
          <w:rFonts w:ascii="宋体" w:hAnsi="宋体" w:eastAsia="宋体" w:cs="宋体"/>
          <w:szCs w:val="21"/>
        </w:rPr>
      </w:pPr>
      <w:r>
        <w:rPr>
          <w:rFonts w:hint="eastAsia" w:ascii="宋体" w:hAnsi="宋体" w:eastAsia="宋体" w:cs="宋体"/>
          <w:szCs w:val="21"/>
        </w:rPr>
        <w:t>能够与医院集成平台对接，获取集成平台中的数据内容，包括但不限于患者检验结果、检查报告、医嘱内容等。</w:t>
      </w:r>
    </w:p>
    <w:p w14:paraId="03EEA123">
      <w:pPr>
        <w:numPr>
          <w:ilvl w:val="1"/>
          <w:numId w:val="2"/>
        </w:numPr>
        <w:rPr>
          <w:rFonts w:ascii="宋体" w:hAnsi="宋体" w:eastAsia="宋体" w:cs="宋体"/>
          <w:szCs w:val="21"/>
        </w:rPr>
      </w:pPr>
      <w:r>
        <w:rPr>
          <w:rFonts w:hint="eastAsia" w:ascii="宋体" w:hAnsi="宋体" w:eastAsia="宋体" w:cs="宋体"/>
          <w:szCs w:val="21"/>
        </w:rPr>
        <w:t>能够与医院医嘱对接，获取医嘱信息，包括但不限于药品、检验、检查、手术、护理医嘱。</w:t>
      </w:r>
    </w:p>
    <w:p w14:paraId="1FE03310">
      <w:pPr>
        <w:numPr>
          <w:ilvl w:val="0"/>
          <w:numId w:val="2"/>
        </w:numPr>
        <w:rPr>
          <w:rFonts w:ascii="宋体" w:hAnsi="宋体" w:eastAsia="宋体" w:cs="宋体"/>
          <w:szCs w:val="21"/>
        </w:rPr>
      </w:pPr>
      <w:r>
        <w:rPr>
          <w:rFonts w:hint="eastAsia" w:ascii="宋体" w:hAnsi="宋体" w:eastAsia="宋体" w:cs="宋体"/>
          <w:szCs w:val="21"/>
        </w:rPr>
        <w:t>性能要求：提供不同级别，不同故障情况下的应用系统的应急预案（指技术实现方案）。避免因计算机故障导致的医疗工作的延迟和医疗差错。</w:t>
      </w:r>
    </w:p>
    <w:p w14:paraId="11A1F339">
      <w:pPr>
        <w:numPr>
          <w:ilvl w:val="0"/>
          <w:numId w:val="2"/>
        </w:numPr>
        <w:rPr>
          <w:rFonts w:ascii="宋体" w:hAnsi="宋体" w:eastAsia="宋体" w:cs="宋体"/>
          <w:szCs w:val="21"/>
        </w:rPr>
      </w:pPr>
      <w:r>
        <w:rPr>
          <w:rFonts w:hint="eastAsia" w:ascii="宋体" w:hAnsi="宋体" w:eastAsia="宋体" w:cs="宋体"/>
          <w:szCs w:val="21"/>
        </w:rPr>
        <w:t>数据格式化要求：不需要电子病历实现结构化录入，可以从非结构化电子病历内容中，通过机器学习，自动抽取结构化信息。</w:t>
      </w:r>
    </w:p>
    <w:p w14:paraId="7961B8B3">
      <w:pPr>
        <w:pStyle w:val="2"/>
      </w:pPr>
    </w:p>
    <w:p w14:paraId="6C8451F5">
      <w:pPr>
        <w:widowControl/>
        <w:jc w:val="left"/>
        <w:rPr>
          <w:rFonts w:ascii="宋体" w:hAnsi="宋体" w:eastAsia="宋体" w:cs="宋体"/>
          <w:b/>
          <w:bCs/>
          <w:szCs w:val="21"/>
        </w:rPr>
      </w:pPr>
      <w:r>
        <w:rPr>
          <w:rFonts w:hint="eastAsia" w:ascii="宋体" w:hAnsi="宋体" w:eastAsia="宋体" w:cs="宋体"/>
          <w:b/>
          <w:bCs/>
          <w:szCs w:val="21"/>
        </w:rPr>
        <w:t>二、系统详细功能</w:t>
      </w:r>
      <w:bookmarkEnd w:id="0"/>
      <w:r>
        <w:rPr>
          <w:rFonts w:hint="eastAsia" w:ascii="宋体" w:hAnsi="宋体" w:eastAsia="宋体" w:cs="宋体"/>
          <w:b/>
          <w:bCs/>
          <w:szCs w:val="21"/>
        </w:rPr>
        <w:t>要求</w:t>
      </w:r>
    </w:p>
    <w:p w14:paraId="2D5E0A84">
      <w:pPr>
        <w:pStyle w:val="12"/>
        <w:jc w:val="left"/>
        <w:rPr>
          <w:rFonts w:ascii="宋体" w:hAnsi="宋体" w:eastAsia="宋体" w:cs="宋体"/>
          <w:b/>
          <w:szCs w:val="21"/>
        </w:rPr>
      </w:pPr>
      <w:r>
        <w:rPr>
          <w:rFonts w:hint="eastAsia" w:ascii="宋体" w:hAnsi="宋体" w:eastAsia="宋体" w:cs="宋体"/>
          <w:b/>
          <w:szCs w:val="21"/>
        </w:rPr>
        <w:t>注：调研产品需要满足以下功能需求表，需提供对应系统功能截图。</w:t>
      </w:r>
    </w:p>
    <w:tbl>
      <w:tblPr>
        <w:tblStyle w:val="16"/>
        <w:tblW w:w="9231"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1559"/>
        <w:gridCol w:w="1560"/>
        <w:gridCol w:w="4819"/>
      </w:tblGrid>
      <w:tr w14:paraId="3B519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293" w:type="dxa"/>
            <w:vMerge w:val="restart"/>
            <w:tcBorders>
              <w:tl2br w:val="nil"/>
              <w:tr2bl w:val="nil"/>
            </w:tcBorders>
            <w:noWrap/>
            <w:vAlign w:val="center"/>
          </w:tcPr>
          <w:p w14:paraId="05ED26FD">
            <w:pPr>
              <w:spacing w:line="240" w:lineRule="auto"/>
              <w:textAlignment w:val="center"/>
              <w:rPr>
                <w:rFonts w:ascii="宋体" w:hAnsi="宋体" w:eastAsia="宋体" w:cs="宋体"/>
                <w:szCs w:val="21"/>
                <w:lang w:bidi="ar"/>
              </w:rPr>
            </w:pPr>
            <w:r>
              <w:rPr>
                <w:rFonts w:hint="eastAsia" w:ascii="宋体" w:hAnsi="宋体" w:eastAsia="宋体" w:cs="宋体"/>
                <w:szCs w:val="21"/>
                <w:lang w:bidi="ar"/>
              </w:rPr>
              <w:t>科研数据湖建设</w:t>
            </w:r>
          </w:p>
        </w:tc>
        <w:tc>
          <w:tcPr>
            <w:tcW w:w="1559" w:type="dxa"/>
            <w:vMerge w:val="restart"/>
            <w:tcBorders>
              <w:tl2br w:val="nil"/>
              <w:tr2bl w:val="nil"/>
            </w:tcBorders>
            <w:vAlign w:val="center"/>
          </w:tcPr>
          <w:p w14:paraId="4AD41A41">
            <w:pPr>
              <w:spacing w:line="240" w:lineRule="auto"/>
              <w:rPr>
                <w:rFonts w:ascii="宋体" w:hAnsi="宋体" w:eastAsia="宋体" w:cs="宋体"/>
                <w:szCs w:val="21"/>
              </w:rPr>
            </w:pPr>
            <w:r>
              <w:rPr>
                <w:rFonts w:hint="eastAsia" w:ascii="宋体" w:hAnsi="宋体" w:eastAsia="宋体" w:cs="宋体"/>
                <w:szCs w:val="21"/>
              </w:rPr>
              <w:t>临床数据采集和治理</w:t>
            </w:r>
          </w:p>
          <w:p w14:paraId="3FB2CC47">
            <w:pPr>
              <w:pStyle w:val="44"/>
              <w:spacing w:before="0" w:beforeLines="0" w:after="0" w:afterLines="0" w:line="240" w:lineRule="auto"/>
              <w:ind w:firstLine="0" w:firstLineChars="0"/>
              <w:rPr>
                <w:rFonts w:ascii="宋体" w:hAnsi="宋体" w:eastAsia="宋体" w:cs="宋体"/>
                <w:sz w:val="21"/>
                <w:szCs w:val="21"/>
              </w:rPr>
            </w:pPr>
          </w:p>
        </w:tc>
        <w:tc>
          <w:tcPr>
            <w:tcW w:w="1560" w:type="dxa"/>
            <w:tcBorders>
              <w:tl2br w:val="nil"/>
              <w:tr2bl w:val="nil"/>
            </w:tcBorders>
            <w:noWrap/>
            <w:vAlign w:val="center"/>
          </w:tcPr>
          <w:p w14:paraId="3C1B1A76">
            <w:pPr>
              <w:spacing w:line="240" w:lineRule="auto"/>
              <w:rPr>
                <w:rFonts w:ascii="宋体" w:hAnsi="宋体" w:eastAsia="宋体" w:cs="宋体"/>
                <w:szCs w:val="21"/>
              </w:rPr>
            </w:pPr>
            <w:r>
              <w:rPr>
                <w:rFonts w:hint="eastAsia" w:ascii="宋体" w:hAnsi="宋体" w:eastAsia="宋体" w:cs="宋体"/>
                <w:szCs w:val="21"/>
              </w:rPr>
              <w:t>数据采集</w:t>
            </w:r>
          </w:p>
          <w:p w14:paraId="38B25D7F">
            <w:pPr>
              <w:pStyle w:val="44"/>
              <w:spacing w:before="0" w:beforeLines="0" w:after="0" w:afterLines="0" w:line="240" w:lineRule="auto"/>
              <w:ind w:firstLine="0" w:firstLineChars="0"/>
              <w:rPr>
                <w:rFonts w:ascii="宋体" w:hAnsi="宋体" w:eastAsia="宋体" w:cs="宋体"/>
                <w:sz w:val="21"/>
                <w:szCs w:val="21"/>
              </w:rPr>
            </w:pPr>
          </w:p>
        </w:tc>
        <w:tc>
          <w:tcPr>
            <w:tcW w:w="4819" w:type="dxa"/>
            <w:tcBorders>
              <w:tl2br w:val="nil"/>
              <w:tr2bl w:val="nil"/>
            </w:tcBorders>
            <w:noWrap/>
            <w:vAlign w:val="center"/>
          </w:tcPr>
          <w:p w14:paraId="1CF9B07B">
            <w:pPr>
              <w:pStyle w:val="2"/>
              <w:spacing w:line="240" w:lineRule="auto"/>
              <w:jc w:val="left"/>
              <w:rPr>
                <w:rFonts w:ascii="宋体" w:hAnsi="宋体" w:eastAsia="宋体" w:cs="宋体"/>
                <w:szCs w:val="21"/>
              </w:rPr>
            </w:pPr>
            <w:r>
              <w:rPr>
                <w:rFonts w:hint="eastAsia" w:ascii="宋体" w:hAnsi="宋体" w:eastAsia="宋体" w:cs="宋体"/>
                <w:szCs w:val="21"/>
              </w:rPr>
              <w:t>通过医院信息集成平台（ESB）或直接对接业务系统数据库，采用低侵入式数据采集方式（如视图查询、中间库同步、API调用等），在系统负载低谷时段定时执行数据同步任务。</w:t>
            </w:r>
          </w:p>
          <w:p w14:paraId="63D7779D">
            <w:pPr>
              <w:pStyle w:val="2"/>
              <w:spacing w:line="240" w:lineRule="auto"/>
              <w:jc w:val="left"/>
              <w:rPr>
                <w:rFonts w:ascii="宋体" w:hAnsi="宋体" w:eastAsia="宋体" w:cs="宋体"/>
                <w:szCs w:val="21"/>
              </w:rPr>
            </w:pPr>
            <w:r>
              <w:rPr>
                <w:rFonts w:hint="eastAsia" w:ascii="宋体" w:hAnsi="宋体" w:eastAsia="宋体" w:cs="宋体"/>
                <w:szCs w:val="21"/>
              </w:rPr>
              <w:t>支持疾病的全量历史数据迁移与增量数据实时/准实时捕获，确保数据完整性与时效性，同时具备扩展接入其他医院数据的能力。</w:t>
            </w:r>
          </w:p>
          <w:p w14:paraId="290C0F7E">
            <w:pPr>
              <w:pStyle w:val="2"/>
              <w:spacing w:line="240" w:lineRule="auto"/>
              <w:jc w:val="left"/>
              <w:rPr>
                <w:rFonts w:ascii="宋体" w:hAnsi="宋体" w:eastAsia="宋体" w:cs="宋体"/>
                <w:szCs w:val="21"/>
              </w:rPr>
            </w:pPr>
            <w:r>
              <w:rPr>
                <w:rFonts w:hint="eastAsia" w:ascii="宋体" w:hAnsi="宋体" w:eastAsia="宋体" w:cs="宋体"/>
                <w:szCs w:val="21"/>
              </w:rPr>
              <w:t>1、支持多源异构数据采集；</w:t>
            </w:r>
          </w:p>
          <w:p w14:paraId="62B9DE4A">
            <w:pPr>
              <w:pStyle w:val="2"/>
              <w:spacing w:line="240" w:lineRule="auto"/>
              <w:jc w:val="left"/>
              <w:rPr>
                <w:rFonts w:ascii="宋体" w:hAnsi="宋体" w:eastAsia="宋体" w:cs="宋体"/>
                <w:szCs w:val="21"/>
              </w:rPr>
            </w:pPr>
            <w:r>
              <w:rPr>
                <w:rFonts w:hint="eastAsia" w:ascii="宋体" w:hAnsi="宋体" w:eastAsia="宋体" w:cs="宋体"/>
                <w:szCs w:val="21"/>
              </w:rPr>
              <w:t>2、支持针对相关信息系统的历史数据及增量数据进行采集。</w:t>
            </w:r>
          </w:p>
          <w:p w14:paraId="5C2495E0">
            <w:pPr>
              <w:pStyle w:val="2"/>
              <w:spacing w:line="240" w:lineRule="auto"/>
              <w:jc w:val="left"/>
              <w:rPr>
                <w:rFonts w:ascii="宋体" w:hAnsi="宋体" w:eastAsia="宋体" w:cs="宋体"/>
                <w:szCs w:val="21"/>
              </w:rPr>
            </w:pPr>
            <w:r>
              <w:rPr>
                <w:rFonts w:hint="eastAsia" w:ascii="宋体" w:hAnsi="宋体" w:eastAsia="宋体" w:cs="宋体"/>
                <w:szCs w:val="21"/>
              </w:rPr>
              <w:t>3、支持对接第三方影像检测报告数据。</w:t>
            </w:r>
          </w:p>
          <w:p w14:paraId="0CB06221">
            <w:pPr>
              <w:pStyle w:val="2"/>
              <w:spacing w:line="240" w:lineRule="auto"/>
              <w:jc w:val="left"/>
              <w:rPr>
                <w:rFonts w:ascii="宋体" w:hAnsi="宋体" w:eastAsia="宋体" w:cs="宋体"/>
                <w:szCs w:val="21"/>
              </w:rPr>
            </w:pPr>
            <w:r>
              <w:rPr>
                <w:rFonts w:hint="eastAsia" w:ascii="宋体" w:hAnsi="宋体" w:eastAsia="宋体" w:cs="宋体"/>
                <w:szCs w:val="21"/>
              </w:rPr>
              <w:t>4、数据采集包括但不限于下列系统中的信息：</w:t>
            </w:r>
          </w:p>
          <w:p w14:paraId="0403AAA8">
            <w:pPr>
              <w:pStyle w:val="2"/>
              <w:spacing w:line="240" w:lineRule="auto"/>
              <w:jc w:val="left"/>
              <w:rPr>
                <w:rFonts w:ascii="宋体" w:hAnsi="宋体" w:eastAsia="宋体" w:cs="宋体"/>
                <w:szCs w:val="21"/>
              </w:rPr>
            </w:pPr>
            <w:r>
              <w:rPr>
                <w:rFonts w:hint="eastAsia" w:ascii="宋体" w:hAnsi="宋体" w:eastAsia="宋体" w:cs="宋体"/>
                <w:szCs w:val="21"/>
              </w:rPr>
              <w:t>医疗信息系统（HIS）：患者基本信息、挂号、入出转、就诊、处方/医嘱、检验、检查等信息。</w:t>
            </w:r>
          </w:p>
          <w:p w14:paraId="33716C05">
            <w:pPr>
              <w:pStyle w:val="2"/>
              <w:spacing w:line="240" w:lineRule="auto"/>
              <w:jc w:val="left"/>
              <w:rPr>
                <w:rFonts w:ascii="宋体" w:hAnsi="宋体" w:eastAsia="宋体" w:cs="宋体"/>
                <w:szCs w:val="21"/>
              </w:rPr>
            </w:pPr>
            <w:r>
              <w:rPr>
                <w:rFonts w:hint="eastAsia" w:ascii="宋体" w:hAnsi="宋体" w:eastAsia="宋体" w:cs="宋体"/>
                <w:szCs w:val="21"/>
              </w:rPr>
              <w:t>电子病历系统（EMR）：患者主诉、现病史、体格检查、入院记录等入院患者信息；出院记录、病程记录、手术记录等住院患者信息。</w:t>
            </w:r>
          </w:p>
          <w:p w14:paraId="4216A479">
            <w:pPr>
              <w:pStyle w:val="2"/>
              <w:spacing w:line="240" w:lineRule="auto"/>
              <w:jc w:val="left"/>
              <w:rPr>
                <w:rFonts w:ascii="宋体" w:hAnsi="宋体" w:eastAsia="宋体" w:cs="宋体"/>
                <w:szCs w:val="21"/>
              </w:rPr>
            </w:pPr>
            <w:r>
              <w:rPr>
                <w:rFonts w:hint="eastAsia" w:ascii="宋体" w:hAnsi="宋体" w:eastAsia="宋体" w:cs="宋体"/>
                <w:szCs w:val="21"/>
              </w:rPr>
              <w:t>实验室系统（LIS）：标本、检验结果等信息。</w:t>
            </w:r>
          </w:p>
          <w:p w14:paraId="2D57483E">
            <w:pPr>
              <w:pStyle w:val="2"/>
              <w:spacing w:line="240" w:lineRule="auto"/>
              <w:jc w:val="left"/>
              <w:rPr>
                <w:rFonts w:ascii="宋体" w:hAnsi="宋体" w:eastAsia="宋体" w:cs="宋体"/>
                <w:szCs w:val="21"/>
              </w:rPr>
            </w:pPr>
            <w:r>
              <w:rPr>
                <w:rFonts w:hint="eastAsia" w:ascii="宋体" w:hAnsi="宋体" w:eastAsia="宋体" w:cs="宋体"/>
                <w:szCs w:val="21"/>
              </w:rPr>
              <w:t>影像系统（PACS）：影像文本报告及影像数据等。</w:t>
            </w:r>
          </w:p>
          <w:p w14:paraId="4898C7C7">
            <w:pPr>
              <w:pStyle w:val="2"/>
              <w:spacing w:line="240" w:lineRule="auto"/>
              <w:jc w:val="left"/>
              <w:rPr>
                <w:rFonts w:ascii="宋体" w:hAnsi="宋体" w:eastAsia="宋体" w:cs="宋体"/>
                <w:szCs w:val="21"/>
              </w:rPr>
            </w:pPr>
            <w:r>
              <w:rPr>
                <w:rFonts w:hint="eastAsia" w:ascii="宋体" w:hAnsi="宋体" w:eastAsia="宋体" w:cs="宋体"/>
                <w:szCs w:val="21"/>
              </w:rPr>
              <w:t>移动护理系统：护理医嘱、护理三测等信息。</w:t>
            </w:r>
          </w:p>
          <w:p w14:paraId="1EE66AE9">
            <w:pPr>
              <w:pStyle w:val="2"/>
              <w:spacing w:line="240" w:lineRule="auto"/>
              <w:jc w:val="left"/>
              <w:rPr>
                <w:rFonts w:ascii="宋体" w:hAnsi="宋体" w:eastAsia="宋体" w:cs="宋体"/>
                <w:szCs w:val="21"/>
              </w:rPr>
            </w:pPr>
            <w:r>
              <w:rPr>
                <w:rFonts w:hint="eastAsia" w:ascii="宋体" w:hAnsi="宋体" w:eastAsia="宋体" w:cs="宋体"/>
                <w:szCs w:val="21"/>
              </w:rPr>
              <w:t>病理系统：病理检查、病理标本、病理报告等信息。</w:t>
            </w:r>
          </w:p>
          <w:p w14:paraId="01D24C6A">
            <w:pPr>
              <w:pStyle w:val="2"/>
              <w:spacing w:line="240" w:lineRule="auto"/>
              <w:jc w:val="left"/>
              <w:rPr>
                <w:rFonts w:ascii="宋体" w:hAnsi="宋体" w:eastAsia="宋体" w:cs="宋体"/>
                <w:szCs w:val="21"/>
              </w:rPr>
            </w:pPr>
            <w:r>
              <w:rPr>
                <w:rFonts w:hint="eastAsia" w:ascii="宋体" w:hAnsi="宋体" w:eastAsia="宋体" w:cs="宋体"/>
                <w:szCs w:val="21"/>
              </w:rPr>
              <w:t>心电系统：心电检查、心电报告等信息</w:t>
            </w:r>
          </w:p>
        </w:tc>
      </w:tr>
      <w:tr w14:paraId="4490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293" w:type="dxa"/>
            <w:vMerge w:val="continue"/>
            <w:tcBorders>
              <w:tl2br w:val="nil"/>
              <w:tr2bl w:val="nil"/>
            </w:tcBorders>
            <w:noWrap/>
            <w:vAlign w:val="center"/>
          </w:tcPr>
          <w:p w14:paraId="5719C482">
            <w:pPr>
              <w:spacing w:line="240" w:lineRule="auto"/>
              <w:textAlignment w:val="center"/>
              <w:rPr>
                <w:rFonts w:ascii="宋体" w:hAnsi="宋体" w:eastAsia="宋体" w:cs="宋体"/>
                <w:szCs w:val="21"/>
              </w:rPr>
            </w:pPr>
          </w:p>
        </w:tc>
        <w:tc>
          <w:tcPr>
            <w:tcW w:w="1559" w:type="dxa"/>
            <w:vMerge w:val="continue"/>
            <w:tcBorders>
              <w:tl2br w:val="nil"/>
              <w:tr2bl w:val="nil"/>
            </w:tcBorders>
            <w:vAlign w:val="center"/>
          </w:tcPr>
          <w:p w14:paraId="71D3E6A2">
            <w:pPr>
              <w:pStyle w:val="2"/>
              <w:spacing w:line="240" w:lineRule="auto"/>
              <w:rPr>
                <w:rFonts w:ascii="宋体" w:hAnsi="宋体" w:eastAsia="宋体" w:cs="宋体"/>
                <w:szCs w:val="21"/>
              </w:rPr>
            </w:pPr>
          </w:p>
        </w:tc>
        <w:tc>
          <w:tcPr>
            <w:tcW w:w="1560" w:type="dxa"/>
            <w:tcBorders>
              <w:tl2br w:val="nil"/>
              <w:tr2bl w:val="nil"/>
            </w:tcBorders>
            <w:noWrap/>
            <w:vAlign w:val="center"/>
          </w:tcPr>
          <w:p w14:paraId="28F292FB">
            <w:pPr>
              <w:pStyle w:val="2"/>
              <w:spacing w:line="240" w:lineRule="auto"/>
              <w:rPr>
                <w:rFonts w:ascii="宋体" w:hAnsi="宋体" w:eastAsia="宋体" w:cs="宋体"/>
                <w:szCs w:val="21"/>
              </w:rPr>
            </w:pPr>
            <w:r>
              <w:rPr>
                <w:rFonts w:hint="eastAsia" w:ascii="宋体" w:hAnsi="宋体" w:eastAsia="宋体" w:cs="宋体"/>
                <w:szCs w:val="21"/>
              </w:rPr>
              <w:t>多源异构数据处理及存储</w:t>
            </w:r>
          </w:p>
        </w:tc>
        <w:tc>
          <w:tcPr>
            <w:tcW w:w="4819" w:type="dxa"/>
            <w:tcBorders>
              <w:tl2br w:val="nil"/>
              <w:tr2bl w:val="nil"/>
            </w:tcBorders>
            <w:noWrap/>
            <w:vAlign w:val="center"/>
          </w:tcPr>
          <w:p w14:paraId="35130214">
            <w:pPr>
              <w:pStyle w:val="2"/>
              <w:spacing w:line="240" w:lineRule="auto"/>
              <w:jc w:val="left"/>
              <w:rPr>
                <w:rFonts w:ascii="宋体" w:hAnsi="宋体" w:eastAsia="宋体" w:cs="宋体"/>
                <w:szCs w:val="21"/>
              </w:rPr>
            </w:pPr>
            <w:r>
              <w:rPr>
                <w:rFonts w:hint="eastAsia" w:ascii="宋体" w:hAnsi="宋体" w:eastAsia="宋体" w:cs="宋体"/>
                <w:szCs w:val="21"/>
              </w:rPr>
              <w:t>需要对多源异构数据进行处理，对冗余数据和无效数据的判断及清除，纠正不一致数据；整合患者个人信息、电子病历、检查、化验、治疗等信息全结构化数据。</w:t>
            </w:r>
          </w:p>
        </w:tc>
      </w:tr>
      <w:tr w14:paraId="6BBF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6A7EA050">
            <w:pPr>
              <w:spacing w:line="240" w:lineRule="auto"/>
              <w:rPr>
                <w:rFonts w:ascii="宋体" w:hAnsi="宋体" w:eastAsia="宋体" w:cs="宋体"/>
                <w:szCs w:val="21"/>
              </w:rPr>
            </w:pPr>
          </w:p>
        </w:tc>
        <w:tc>
          <w:tcPr>
            <w:tcW w:w="1559" w:type="dxa"/>
            <w:vMerge w:val="continue"/>
            <w:tcBorders>
              <w:tl2br w:val="nil"/>
              <w:tr2bl w:val="nil"/>
            </w:tcBorders>
          </w:tcPr>
          <w:p w14:paraId="314E799C">
            <w:pPr>
              <w:spacing w:line="240" w:lineRule="auto"/>
              <w:rPr>
                <w:rFonts w:ascii="宋体" w:hAnsi="宋体" w:eastAsia="宋体" w:cs="宋体"/>
                <w:szCs w:val="21"/>
              </w:rPr>
            </w:pPr>
          </w:p>
        </w:tc>
        <w:tc>
          <w:tcPr>
            <w:tcW w:w="1560" w:type="dxa"/>
            <w:tcBorders>
              <w:tl2br w:val="nil"/>
              <w:tr2bl w:val="nil"/>
            </w:tcBorders>
            <w:noWrap/>
            <w:vAlign w:val="center"/>
          </w:tcPr>
          <w:p w14:paraId="3A415D08">
            <w:pPr>
              <w:spacing w:line="240" w:lineRule="auto"/>
              <w:rPr>
                <w:rFonts w:ascii="宋体" w:hAnsi="宋体" w:eastAsia="宋体" w:cs="宋体"/>
                <w:szCs w:val="21"/>
              </w:rPr>
            </w:pPr>
            <w:r>
              <w:rPr>
                <w:rFonts w:hint="eastAsia" w:ascii="宋体" w:hAnsi="宋体" w:eastAsia="宋体" w:cs="宋体"/>
                <w:szCs w:val="21"/>
              </w:rPr>
              <w:t>患者主索引</w:t>
            </w:r>
          </w:p>
          <w:p w14:paraId="132A8FB3">
            <w:pPr>
              <w:pStyle w:val="44"/>
              <w:spacing w:before="0" w:beforeLines="0" w:after="0" w:afterLines="0" w:line="240" w:lineRule="auto"/>
              <w:ind w:firstLine="0" w:firstLineChars="0"/>
              <w:rPr>
                <w:rFonts w:ascii="宋体" w:hAnsi="宋体" w:eastAsia="宋体" w:cs="宋体"/>
                <w:sz w:val="21"/>
                <w:szCs w:val="21"/>
              </w:rPr>
            </w:pPr>
          </w:p>
        </w:tc>
        <w:tc>
          <w:tcPr>
            <w:tcW w:w="4819" w:type="dxa"/>
            <w:tcBorders>
              <w:tl2br w:val="nil"/>
              <w:tr2bl w:val="nil"/>
            </w:tcBorders>
            <w:noWrap/>
            <w:vAlign w:val="center"/>
          </w:tcPr>
          <w:p w14:paraId="56223B77">
            <w:pPr>
              <w:pStyle w:val="2"/>
              <w:spacing w:line="240" w:lineRule="auto"/>
              <w:jc w:val="left"/>
              <w:rPr>
                <w:rFonts w:ascii="宋体" w:hAnsi="宋体" w:eastAsia="宋体" w:cs="宋体"/>
                <w:szCs w:val="21"/>
              </w:rPr>
            </w:pPr>
            <w:r>
              <w:rPr>
                <w:rFonts w:hint="eastAsia" w:ascii="宋体" w:hAnsi="宋体" w:eastAsia="宋体" w:cs="宋体"/>
                <w:szCs w:val="21"/>
              </w:rPr>
              <w:t>1）建立专科级患者主索引（SPMI）。</w:t>
            </w:r>
          </w:p>
          <w:p w14:paraId="2393E245">
            <w:pPr>
              <w:pStyle w:val="2"/>
              <w:spacing w:line="240" w:lineRule="auto"/>
              <w:jc w:val="left"/>
              <w:rPr>
                <w:rFonts w:ascii="宋体" w:hAnsi="宋体" w:eastAsia="宋体" w:cs="宋体"/>
                <w:szCs w:val="21"/>
              </w:rPr>
            </w:pPr>
            <w:r>
              <w:rPr>
                <w:rFonts w:hint="eastAsia" w:ascii="宋体" w:hAnsi="宋体" w:eastAsia="宋体" w:cs="宋体"/>
                <w:szCs w:val="21"/>
              </w:rPr>
              <w:t>2）利用病人基本病历信息，自定义规则权重跟计算规则，进行相似度计算。将确定为同一病人的病人信息进行合并，建立患者维度的数据集。建立唯一的患者标识，将多个医疗信息系统的数据有效地关联在一起，支持主索引查询和近似患者合并。</w:t>
            </w:r>
          </w:p>
          <w:p w14:paraId="0DA85D9F">
            <w:pPr>
              <w:pStyle w:val="2"/>
              <w:spacing w:line="240" w:lineRule="auto"/>
              <w:jc w:val="left"/>
              <w:rPr>
                <w:rFonts w:ascii="宋体" w:hAnsi="宋体" w:eastAsia="宋体" w:cs="宋体"/>
                <w:szCs w:val="21"/>
              </w:rPr>
            </w:pPr>
            <w:r>
              <w:rPr>
                <w:rFonts w:hint="eastAsia" w:ascii="宋体" w:hAnsi="宋体" w:eastAsia="宋体" w:cs="宋体"/>
                <w:szCs w:val="21"/>
              </w:rPr>
              <w:t>3）提供患者主索引管理工具，能够对主索引进行管理，计算，合并、查询等功能，支持主索引分级管理。</w:t>
            </w:r>
          </w:p>
        </w:tc>
      </w:tr>
      <w:tr w14:paraId="1768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93" w:type="dxa"/>
            <w:vMerge w:val="continue"/>
            <w:tcBorders>
              <w:tl2br w:val="nil"/>
              <w:tr2bl w:val="nil"/>
            </w:tcBorders>
            <w:noWrap/>
            <w:vAlign w:val="center"/>
          </w:tcPr>
          <w:p w14:paraId="42ED38A7">
            <w:pPr>
              <w:spacing w:line="240" w:lineRule="auto"/>
              <w:rPr>
                <w:rFonts w:ascii="宋体" w:hAnsi="宋体" w:eastAsia="宋体" w:cs="宋体"/>
                <w:szCs w:val="21"/>
              </w:rPr>
            </w:pPr>
          </w:p>
        </w:tc>
        <w:tc>
          <w:tcPr>
            <w:tcW w:w="1559" w:type="dxa"/>
            <w:vMerge w:val="continue"/>
            <w:tcBorders>
              <w:tl2br w:val="nil"/>
              <w:tr2bl w:val="nil"/>
            </w:tcBorders>
          </w:tcPr>
          <w:p w14:paraId="44BC0351">
            <w:pPr>
              <w:spacing w:line="240" w:lineRule="auto"/>
              <w:rPr>
                <w:rFonts w:ascii="宋体" w:hAnsi="宋体" w:eastAsia="宋体" w:cs="宋体"/>
                <w:szCs w:val="21"/>
              </w:rPr>
            </w:pPr>
          </w:p>
        </w:tc>
        <w:tc>
          <w:tcPr>
            <w:tcW w:w="1560" w:type="dxa"/>
            <w:tcBorders>
              <w:tl2br w:val="nil"/>
              <w:tr2bl w:val="nil"/>
            </w:tcBorders>
            <w:noWrap/>
            <w:vAlign w:val="center"/>
          </w:tcPr>
          <w:p w14:paraId="56FC93FE">
            <w:pPr>
              <w:spacing w:line="240" w:lineRule="auto"/>
              <w:rPr>
                <w:rFonts w:ascii="宋体" w:hAnsi="宋体" w:eastAsia="宋体" w:cs="宋体"/>
                <w:szCs w:val="21"/>
              </w:rPr>
            </w:pPr>
            <w:r>
              <w:rPr>
                <w:rFonts w:hint="eastAsia" w:ascii="宋体" w:hAnsi="宋体" w:eastAsia="宋体" w:cs="宋体"/>
                <w:szCs w:val="21"/>
              </w:rPr>
              <w:t>标准规范化和归一处理</w:t>
            </w:r>
          </w:p>
        </w:tc>
        <w:tc>
          <w:tcPr>
            <w:tcW w:w="4819" w:type="dxa"/>
            <w:tcBorders>
              <w:tl2br w:val="nil"/>
              <w:tr2bl w:val="nil"/>
            </w:tcBorders>
            <w:noWrap/>
            <w:vAlign w:val="center"/>
          </w:tcPr>
          <w:p w14:paraId="234201FE">
            <w:pPr>
              <w:spacing w:line="240" w:lineRule="auto"/>
              <w:jc w:val="left"/>
              <w:rPr>
                <w:rFonts w:ascii="宋体" w:hAnsi="宋体" w:eastAsia="宋体" w:cs="宋体"/>
                <w:color w:val="0000FF"/>
                <w:szCs w:val="21"/>
              </w:rPr>
            </w:pPr>
            <w:r>
              <w:rPr>
                <w:rFonts w:hint="eastAsia" w:ascii="宋体" w:hAnsi="宋体" w:eastAsia="宋体" w:cs="宋体"/>
                <w:szCs w:val="21"/>
              </w:rPr>
              <w:t>需要对汇集的数据进行标准化处理，处理后的数据或变量如：诊断名称、症状名称、检验名称、药品名称、检查名称等可以与国家、国际标准编码进行映射，具体标准参照标准临床术语有SNOMED-CT、LOINC、ICD-10编码等。</w:t>
            </w:r>
          </w:p>
        </w:tc>
      </w:tr>
      <w:tr w14:paraId="0293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04DBEE00">
            <w:pPr>
              <w:spacing w:line="240" w:lineRule="auto"/>
              <w:rPr>
                <w:rFonts w:ascii="宋体" w:hAnsi="宋体" w:eastAsia="宋体" w:cs="宋体"/>
                <w:szCs w:val="21"/>
              </w:rPr>
            </w:pPr>
          </w:p>
        </w:tc>
        <w:tc>
          <w:tcPr>
            <w:tcW w:w="1559" w:type="dxa"/>
            <w:vMerge w:val="continue"/>
            <w:tcBorders>
              <w:tl2br w:val="nil"/>
              <w:tr2bl w:val="nil"/>
            </w:tcBorders>
          </w:tcPr>
          <w:p w14:paraId="506926AD">
            <w:pPr>
              <w:spacing w:line="240" w:lineRule="auto"/>
              <w:rPr>
                <w:rFonts w:ascii="宋体" w:hAnsi="宋体" w:eastAsia="宋体" w:cs="宋体"/>
                <w:szCs w:val="21"/>
              </w:rPr>
            </w:pPr>
          </w:p>
        </w:tc>
        <w:tc>
          <w:tcPr>
            <w:tcW w:w="1560" w:type="dxa"/>
            <w:tcBorders>
              <w:tl2br w:val="nil"/>
              <w:tr2bl w:val="nil"/>
            </w:tcBorders>
            <w:noWrap/>
            <w:vAlign w:val="center"/>
          </w:tcPr>
          <w:p w14:paraId="18188812">
            <w:pPr>
              <w:spacing w:line="240" w:lineRule="auto"/>
              <w:rPr>
                <w:rFonts w:ascii="宋体" w:hAnsi="宋体" w:eastAsia="宋体" w:cs="宋体"/>
                <w:szCs w:val="21"/>
              </w:rPr>
            </w:pPr>
            <w:r>
              <w:rPr>
                <w:rFonts w:hint="eastAsia" w:ascii="宋体" w:hAnsi="宋体" w:eastAsia="宋体" w:cs="宋体"/>
                <w:szCs w:val="21"/>
              </w:rPr>
              <w:t>数据治理</w:t>
            </w:r>
          </w:p>
        </w:tc>
        <w:tc>
          <w:tcPr>
            <w:tcW w:w="4819" w:type="dxa"/>
            <w:tcBorders>
              <w:tl2br w:val="nil"/>
              <w:tr2bl w:val="nil"/>
            </w:tcBorders>
            <w:noWrap/>
            <w:vAlign w:val="center"/>
          </w:tcPr>
          <w:p w14:paraId="2F920C65">
            <w:pPr>
              <w:spacing w:line="240" w:lineRule="auto"/>
              <w:jc w:val="left"/>
              <w:rPr>
                <w:rFonts w:ascii="宋体" w:hAnsi="宋体" w:eastAsia="宋体" w:cs="宋体"/>
                <w:szCs w:val="21"/>
              </w:rPr>
            </w:pPr>
            <w:r>
              <w:rPr>
                <w:rFonts w:hint="eastAsia" w:ascii="宋体" w:hAnsi="宋体" w:eastAsia="宋体" w:cs="宋体"/>
                <w:szCs w:val="21"/>
              </w:rPr>
              <w:t>需要对汇集的数据进行治理：</w:t>
            </w:r>
          </w:p>
          <w:p w14:paraId="0D58E3EC">
            <w:pPr>
              <w:spacing w:line="240" w:lineRule="auto"/>
              <w:jc w:val="left"/>
              <w:rPr>
                <w:rFonts w:ascii="宋体" w:hAnsi="宋体" w:eastAsia="宋体" w:cs="宋体"/>
                <w:szCs w:val="21"/>
              </w:rPr>
            </w:pPr>
            <w:r>
              <w:rPr>
                <w:rFonts w:hint="eastAsia" w:ascii="宋体" w:hAnsi="宋体" w:eastAsia="宋体" w:cs="宋体"/>
                <w:szCs w:val="21"/>
              </w:rPr>
              <w:t>1）对数据处理、计算、修复，根据数据治理的目标，实现对数据的治理；</w:t>
            </w:r>
          </w:p>
          <w:p w14:paraId="6FF83B72">
            <w:pPr>
              <w:spacing w:line="240" w:lineRule="auto"/>
              <w:jc w:val="left"/>
              <w:rPr>
                <w:rFonts w:ascii="宋体" w:hAnsi="宋体" w:eastAsia="宋体" w:cs="宋体"/>
                <w:szCs w:val="21"/>
              </w:rPr>
            </w:pPr>
            <w:r>
              <w:rPr>
                <w:rFonts w:hint="eastAsia" w:ascii="宋体" w:hAnsi="宋体" w:eastAsia="宋体" w:cs="宋体"/>
                <w:szCs w:val="21"/>
              </w:rPr>
              <w:t>2）出具数据质量报告和数据影响分析报告。</w:t>
            </w:r>
          </w:p>
        </w:tc>
      </w:tr>
      <w:tr w14:paraId="1CDB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375776CF">
            <w:pPr>
              <w:spacing w:line="240" w:lineRule="auto"/>
              <w:rPr>
                <w:rFonts w:ascii="宋体" w:hAnsi="宋体" w:eastAsia="宋体" w:cs="宋体"/>
                <w:szCs w:val="21"/>
              </w:rPr>
            </w:pPr>
          </w:p>
        </w:tc>
        <w:tc>
          <w:tcPr>
            <w:tcW w:w="1559" w:type="dxa"/>
            <w:vMerge w:val="continue"/>
            <w:tcBorders>
              <w:tl2br w:val="nil"/>
              <w:tr2bl w:val="nil"/>
            </w:tcBorders>
          </w:tcPr>
          <w:p w14:paraId="7311CE60">
            <w:pPr>
              <w:pStyle w:val="44"/>
              <w:spacing w:before="0" w:beforeLines="0" w:after="0" w:afterLines="0" w:line="240" w:lineRule="auto"/>
              <w:ind w:firstLine="0" w:firstLineChars="0"/>
              <w:rPr>
                <w:rFonts w:ascii="宋体" w:hAnsi="宋体" w:eastAsia="宋体" w:cs="宋体"/>
                <w:sz w:val="21"/>
                <w:szCs w:val="21"/>
              </w:rPr>
            </w:pPr>
          </w:p>
        </w:tc>
        <w:tc>
          <w:tcPr>
            <w:tcW w:w="1560" w:type="dxa"/>
            <w:tcBorders>
              <w:tl2br w:val="nil"/>
              <w:tr2bl w:val="nil"/>
            </w:tcBorders>
            <w:noWrap/>
            <w:vAlign w:val="center"/>
          </w:tcPr>
          <w:p w14:paraId="560DCD9F">
            <w:pPr>
              <w:pStyle w:val="44"/>
              <w:spacing w:before="0" w:beforeLines="0" w:after="0" w:afterLines="0" w:line="240" w:lineRule="auto"/>
              <w:ind w:firstLine="0" w:firstLineChars="0"/>
              <w:rPr>
                <w:rFonts w:ascii="宋体" w:hAnsi="宋体" w:eastAsia="宋体" w:cs="宋体"/>
                <w:sz w:val="21"/>
                <w:szCs w:val="21"/>
              </w:rPr>
            </w:pPr>
            <w:r>
              <w:rPr>
                <w:rFonts w:hint="eastAsia" w:ascii="宋体" w:hAnsi="宋体" w:eastAsia="宋体" w:cs="宋体"/>
                <w:sz w:val="21"/>
                <w:szCs w:val="21"/>
              </w:rPr>
              <w:t>数据脱敏</w:t>
            </w:r>
          </w:p>
        </w:tc>
        <w:tc>
          <w:tcPr>
            <w:tcW w:w="4819" w:type="dxa"/>
            <w:tcBorders>
              <w:tl2br w:val="nil"/>
              <w:tr2bl w:val="nil"/>
            </w:tcBorders>
            <w:noWrap/>
            <w:vAlign w:val="center"/>
          </w:tcPr>
          <w:p w14:paraId="5215AFA6">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系统需要支持对敏感数据脱敏，脱敏信息可配置，可依据需要设定脱敏范围，按字段颗粒度实现数据脱敏配置。脱敏支持可逆脱敏，不可逆脱敏等技术。</w:t>
            </w:r>
          </w:p>
        </w:tc>
      </w:tr>
      <w:tr w14:paraId="6B27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58EE85AF">
            <w:pPr>
              <w:spacing w:line="240" w:lineRule="auto"/>
              <w:rPr>
                <w:rFonts w:ascii="宋体" w:hAnsi="宋体" w:eastAsia="宋体" w:cs="宋体"/>
                <w:szCs w:val="21"/>
              </w:rPr>
            </w:pPr>
          </w:p>
        </w:tc>
        <w:tc>
          <w:tcPr>
            <w:tcW w:w="1559" w:type="dxa"/>
            <w:vMerge w:val="continue"/>
            <w:tcBorders>
              <w:tl2br w:val="nil"/>
              <w:tr2bl w:val="nil"/>
            </w:tcBorders>
          </w:tcPr>
          <w:p w14:paraId="26F9E59F">
            <w:pPr>
              <w:spacing w:line="240" w:lineRule="auto"/>
              <w:rPr>
                <w:rFonts w:ascii="宋体" w:hAnsi="宋体" w:eastAsia="宋体" w:cs="宋体"/>
                <w:szCs w:val="21"/>
              </w:rPr>
            </w:pPr>
          </w:p>
        </w:tc>
        <w:tc>
          <w:tcPr>
            <w:tcW w:w="1560" w:type="dxa"/>
            <w:tcBorders>
              <w:tl2br w:val="nil"/>
              <w:tr2bl w:val="nil"/>
            </w:tcBorders>
            <w:noWrap/>
            <w:vAlign w:val="center"/>
          </w:tcPr>
          <w:p w14:paraId="628C6A32">
            <w:pPr>
              <w:spacing w:line="240" w:lineRule="auto"/>
              <w:rPr>
                <w:rFonts w:ascii="宋体" w:hAnsi="宋体" w:eastAsia="宋体" w:cs="宋体"/>
                <w:szCs w:val="21"/>
              </w:rPr>
            </w:pPr>
            <w:r>
              <w:rPr>
                <w:rFonts w:hint="eastAsia" w:ascii="宋体" w:hAnsi="宋体" w:eastAsia="宋体" w:cs="宋体"/>
                <w:szCs w:val="21"/>
              </w:rPr>
              <w:t>数据校验</w:t>
            </w:r>
          </w:p>
          <w:p w14:paraId="11478E3B">
            <w:pPr>
              <w:pStyle w:val="44"/>
              <w:spacing w:before="0" w:beforeLines="0" w:after="0" w:afterLines="0" w:line="240" w:lineRule="auto"/>
              <w:ind w:firstLine="0" w:firstLineChars="0"/>
              <w:rPr>
                <w:rFonts w:ascii="宋体" w:hAnsi="宋体" w:eastAsia="宋体" w:cs="宋体"/>
                <w:sz w:val="21"/>
                <w:szCs w:val="21"/>
              </w:rPr>
            </w:pPr>
          </w:p>
        </w:tc>
        <w:tc>
          <w:tcPr>
            <w:tcW w:w="4819" w:type="dxa"/>
            <w:tcBorders>
              <w:tl2br w:val="nil"/>
              <w:tr2bl w:val="nil"/>
            </w:tcBorders>
            <w:noWrap/>
            <w:vAlign w:val="center"/>
          </w:tcPr>
          <w:p w14:paraId="345F465C">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需要对汇集数据过程中不同阶段的数据进行校验：</w:t>
            </w:r>
          </w:p>
          <w:p w14:paraId="2A8533A5">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1）针对数据采集、数据规范化处理和指标计算阶段的数据校验。</w:t>
            </w:r>
          </w:p>
          <w:p w14:paraId="69781C85">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2）数据完整性校验，包括数据缺失校验。通过对数据数量进行统计，计算缺失比例，形成缺失数据校验报告。</w:t>
            </w:r>
          </w:p>
          <w:p w14:paraId="7642F70C">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3）数据关联性校验，包括针对数据索引的校验。</w:t>
            </w:r>
          </w:p>
          <w:p w14:paraId="49ADAB56">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4）数据合理性校验，包括数据值域范围校验。通过判断数据是否超出值域范围，确定数据是否合理。</w:t>
            </w:r>
          </w:p>
          <w:p w14:paraId="5FC85248">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5）数据构成异常校验，定义数据的占比指标和逻辑关联指标，包括门诊住院占比、性别占比、年龄占比、检验占比、检查占比等。在数据处理前对原始数据构成情况进行初查，统计的结果形成数据构成异常校验报告，进而分析数据构成异常的程度，评估是否需要重新采集或者进行数据再处理。</w:t>
            </w:r>
          </w:p>
          <w:p w14:paraId="1489CC27">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6）出具校验结果报告。</w:t>
            </w:r>
          </w:p>
        </w:tc>
      </w:tr>
      <w:tr w14:paraId="2C63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02781597">
            <w:pPr>
              <w:spacing w:line="240" w:lineRule="auto"/>
              <w:rPr>
                <w:rFonts w:ascii="宋体" w:hAnsi="宋体" w:eastAsia="宋体" w:cs="宋体"/>
                <w:szCs w:val="21"/>
              </w:rPr>
            </w:pPr>
          </w:p>
        </w:tc>
        <w:tc>
          <w:tcPr>
            <w:tcW w:w="1559" w:type="dxa"/>
            <w:vMerge w:val="restart"/>
            <w:tcBorders>
              <w:tl2br w:val="nil"/>
              <w:tr2bl w:val="nil"/>
            </w:tcBorders>
          </w:tcPr>
          <w:p w14:paraId="076D6F8A">
            <w:pPr>
              <w:spacing w:line="240" w:lineRule="auto"/>
              <w:rPr>
                <w:rFonts w:ascii="宋体" w:hAnsi="宋体" w:eastAsia="宋体" w:cs="宋体"/>
                <w:szCs w:val="21"/>
              </w:rPr>
            </w:pPr>
            <w:r>
              <w:rPr>
                <w:rFonts w:ascii="宋体" w:hAnsi="宋体" w:eastAsia="宋体" w:cs="宋体"/>
                <w:szCs w:val="21"/>
              </w:rPr>
              <w:t>专病数据管理工具</w:t>
            </w:r>
          </w:p>
        </w:tc>
        <w:tc>
          <w:tcPr>
            <w:tcW w:w="1560" w:type="dxa"/>
            <w:tcBorders>
              <w:tl2br w:val="nil"/>
              <w:tr2bl w:val="nil"/>
            </w:tcBorders>
            <w:noWrap/>
            <w:vAlign w:val="center"/>
          </w:tcPr>
          <w:p w14:paraId="1DB63255">
            <w:pPr>
              <w:spacing w:line="240" w:lineRule="auto"/>
              <w:rPr>
                <w:rFonts w:ascii="宋体" w:hAnsi="宋体" w:eastAsia="宋体" w:cs="宋体"/>
                <w:szCs w:val="21"/>
              </w:rPr>
            </w:pPr>
            <w:r>
              <w:rPr>
                <w:rFonts w:hint="eastAsia" w:ascii="宋体" w:hAnsi="宋体" w:eastAsia="宋体" w:cs="宋体"/>
                <w:szCs w:val="21"/>
              </w:rPr>
              <w:t>数据需求管理</w:t>
            </w:r>
          </w:p>
        </w:tc>
        <w:tc>
          <w:tcPr>
            <w:tcW w:w="4819" w:type="dxa"/>
            <w:tcBorders>
              <w:tl2br w:val="nil"/>
              <w:tr2bl w:val="nil"/>
            </w:tcBorders>
            <w:noWrap/>
            <w:vAlign w:val="center"/>
          </w:tcPr>
          <w:p w14:paraId="6E6D43AD">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提供</w:t>
            </w:r>
            <w:r>
              <w:rPr>
                <w:rFonts w:ascii="宋体" w:hAnsi="宋体" w:eastAsia="宋体" w:cs="宋体"/>
                <w:sz w:val="21"/>
                <w:szCs w:val="21"/>
              </w:rPr>
              <w:t>数据需求</w:t>
            </w:r>
            <w:r>
              <w:rPr>
                <w:rFonts w:hint="eastAsia" w:ascii="宋体" w:hAnsi="宋体" w:eastAsia="宋体" w:cs="宋体"/>
                <w:sz w:val="21"/>
                <w:szCs w:val="21"/>
              </w:rPr>
              <w:t>管理工具，可以</w:t>
            </w:r>
            <w:r>
              <w:rPr>
                <w:rFonts w:ascii="宋体" w:hAnsi="宋体" w:eastAsia="宋体" w:cs="宋体"/>
                <w:sz w:val="21"/>
                <w:szCs w:val="21"/>
              </w:rPr>
              <w:t>支持</w:t>
            </w:r>
            <w:r>
              <w:rPr>
                <w:rFonts w:hint="eastAsia" w:ascii="宋体" w:hAnsi="宋体" w:eastAsia="宋体" w:cs="宋体"/>
                <w:sz w:val="21"/>
                <w:szCs w:val="21"/>
              </w:rPr>
              <w:t>数据探查、指标定义、项目管理等功能。</w:t>
            </w:r>
          </w:p>
          <w:p w14:paraId="7EBF3100">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1）数据探查：支持对源数据湖进行全文检索；</w:t>
            </w:r>
          </w:p>
          <w:p w14:paraId="34CA7DCD">
            <w:pPr>
              <w:pStyle w:val="44"/>
              <w:spacing w:line="240" w:lineRule="auto"/>
              <w:ind w:firstLine="0" w:firstLineChars="0"/>
              <w:jc w:val="left"/>
              <w:rPr>
                <w:rFonts w:ascii="宋体" w:hAnsi="宋体" w:eastAsia="宋体" w:cs="宋体"/>
                <w:sz w:val="21"/>
                <w:szCs w:val="21"/>
              </w:rPr>
            </w:pPr>
            <w:r>
              <w:rPr>
                <w:rFonts w:ascii="宋体" w:hAnsi="宋体" w:eastAsia="宋体" w:cs="宋体"/>
                <w:sz w:val="21"/>
                <w:szCs w:val="21"/>
              </w:rPr>
              <w:t>2）指标探查：</w:t>
            </w:r>
            <w:r>
              <w:rPr>
                <w:rFonts w:hint="eastAsia" w:ascii="宋体" w:hAnsi="宋体" w:eastAsia="宋体" w:cs="宋体"/>
                <w:sz w:val="21"/>
                <w:szCs w:val="21"/>
              </w:rPr>
              <w:t>支持对指标数据仓库中的指标进行检索；</w:t>
            </w:r>
          </w:p>
          <w:p w14:paraId="16F973D2">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3）项目管理：支持对数据服务项目进行管理</w:t>
            </w:r>
          </w:p>
          <w:p w14:paraId="6188E558">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4）需求管理：支持对指标需求进行管理，</w:t>
            </w:r>
            <w:r>
              <w:rPr>
                <w:rFonts w:ascii="宋体" w:hAnsi="宋体" w:eastAsia="宋体" w:cs="宋体"/>
                <w:sz w:val="21"/>
                <w:szCs w:val="21"/>
              </w:rPr>
              <w:t>包括</w:t>
            </w:r>
            <w:r>
              <w:rPr>
                <w:rFonts w:hint="eastAsia" w:ascii="宋体" w:hAnsi="宋体" w:eastAsia="宋体" w:cs="宋体"/>
                <w:sz w:val="21"/>
                <w:szCs w:val="21"/>
              </w:rPr>
              <w:t>基本属性的定义，包括分类、名称、描述、数据类型、物理存储等。</w:t>
            </w:r>
          </w:p>
        </w:tc>
      </w:tr>
      <w:tr w14:paraId="4334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189730C3">
            <w:pPr>
              <w:spacing w:line="240" w:lineRule="auto"/>
              <w:rPr>
                <w:rFonts w:ascii="宋体" w:hAnsi="宋体" w:eastAsia="宋体" w:cs="宋体"/>
                <w:szCs w:val="21"/>
              </w:rPr>
            </w:pPr>
          </w:p>
        </w:tc>
        <w:tc>
          <w:tcPr>
            <w:tcW w:w="1559" w:type="dxa"/>
            <w:vMerge w:val="continue"/>
            <w:tcBorders>
              <w:tl2br w:val="nil"/>
              <w:tr2bl w:val="nil"/>
            </w:tcBorders>
          </w:tcPr>
          <w:p w14:paraId="736C0A0C">
            <w:pPr>
              <w:spacing w:line="240" w:lineRule="auto"/>
              <w:rPr>
                <w:rFonts w:ascii="宋体" w:hAnsi="宋体" w:eastAsia="宋体" w:cs="宋体"/>
                <w:szCs w:val="21"/>
              </w:rPr>
            </w:pPr>
          </w:p>
        </w:tc>
        <w:tc>
          <w:tcPr>
            <w:tcW w:w="1560" w:type="dxa"/>
            <w:tcBorders>
              <w:tl2br w:val="nil"/>
              <w:tr2bl w:val="nil"/>
            </w:tcBorders>
            <w:noWrap/>
            <w:vAlign w:val="center"/>
          </w:tcPr>
          <w:p w14:paraId="44F34A40">
            <w:pPr>
              <w:spacing w:line="240" w:lineRule="auto"/>
              <w:rPr>
                <w:rFonts w:ascii="宋体" w:hAnsi="宋体" w:eastAsia="宋体" w:cs="宋体"/>
                <w:szCs w:val="21"/>
              </w:rPr>
            </w:pPr>
            <w:r>
              <w:rPr>
                <w:rFonts w:ascii="宋体" w:hAnsi="宋体" w:eastAsia="宋体" w:cs="宋体"/>
                <w:szCs w:val="21"/>
              </w:rPr>
              <w:t>数据标化处理</w:t>
            </w:r>
          </w:p>
        </w:tc>
        <w:tc>
          <w:tcPr>
            <w:tcW w:w="4819" w:type="dxa"/>
            <w:tcBorders>
              <w:tl2br w:val="nil"/>
              <w:tr2bl w:val="nil"/>
            </w:tcBorders>
            <w:noWrap/>
            <w:vAlign w:val="center"/>
          </w:tcPr>
          <w:p w14:paraId="4901947D">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提供</w:t>
            </w:r>
            <w:r>
              <w:rPr>
                <w:rFonts w:ascii="宋体" w:hAnsi="宋体" w:eastAsia="宋体" w:cs="宋体"/>
                <w:sz w:val="21"/>
                <w:szCs w:val="21"/>
              </w:rPr>
              <w:t>数据后结构化、归一、计算</w:t>
            </w:r>
            <w:r>
              <w:rPr>
                <w:rFonts w:hint="eastAsia" w:ascii="宋体" w:hAnsi="宋体" w:eastAsia="宋体" w:cs="宋体"/>
                <w:sz w:val="21"/>
                <w:szCs w:val="21"/>
              </w:rPr>
              <w:t>工具支持：</w:t>
            </w:r>
          </w:p>
          <w:p w14:paraId="333189EC">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1）标准术语管理：管理标准术语内容，用于归一进行规则匹配；</w:t>
            </w:r>
          </w:p>
          <w:p w14:paraId="619F69A3">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2）数据归一处理：支持归一需求管理、归一规则库、归一流程配置和管理、归一任务执行等功能；</w:t>
            </w:r>
          </w:p>
          <w:p w14:paraId="44339DCB">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3）数据后结构化处理：支持基于规则和SQL逻辑的后结构化处理；</w:t>
            </w:r>
          </w:p>
          <w:p w14:paraId="5DB255D7">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数据实例展示：对执行任务结果数据进行展示</w:t>
            </w:r>
          </w:p>
        </w:tc>
      </w:tr>
      <w:tr w14:paraId="34C2B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2E595AFB">
            <w:pPr>
              <w:spacing w:line="240" w:lineRule="auto"/>
              <w:rPr>
                <w:rFonts w:ascii="宋体" w:hAnsi="宋体" w:eastAsia="宋体" w:cs="宋体"/>
                <w:szCs w:val="21"/>
              </w:rPr>
            </w:pPr>
          </w:p>
        </w:tc>
        <w:tc>
          <w:tcPr>
            <w:tcW w:w="1559" w:type="dxa"/>
            <w:vMerge w:val="continue"/>
            <w:tcBorders>
              <w:tl2br w:val="nil"/>
              <w:tr2bl w:val="nil"/>
            </w:tcBorders>
          </w:tcPr>
          <w:p w14:paraId="003667E1">
            <w:pPr>
              <w:spacing w:line="240" w:lineRule="auto"/>
              <w:rPr>
                <w:rFonts w:ascii="宋体" w:hAnsi="宋体" w:eastAsia="宋体" w:cs="宋体"/>
                <w:szCs w:val="21"/>
              </w:rPr>
            </w:pPr>
          </w:p>
        </w:tc>
        <w:tc>
          <w:tcPr>
            <w:tcW w:w="1560" w:type="dxa"/>
            <w:tcBorders>
              <w:tl2br w:val="nil"/>
              <w:tr2bl w:val="nil"/>
            </w:tcBorders>
            <w:noWrap/>
            <w:vAlign w:val="center"/>
          </w:tcPr>
          <w:p w14:paraId="4D9F1AA1">
            <w:pPr>
              <w:spacing w:line="240" w:lineRule="auto"/>
              <w:rPr>
                <w:rFonts w:ascii="宋体" w:hAnsi="宋体" w:eastAsia="宋体" w:cs="宋体"/>
                <w:szCs w:val="21"/>
              </w:rPr>
            </w:pPr>
            <w:r>
              <w:rPr>
                <w:rFonts w:ascii="宋体" w:hAnsi="宋体" w:eastAsia="宋体" w:cs="宋体"/>
                <w:szCs w:val="21"/>
              </w:rPr>
              <w:t>指标生产</w:t>
            </w:r>
          </w:p>
        </w:tc>
        <w:tc>
          <w:tcPr>
            <w:tcW w:w="4819" w:type="dxa"/>
            <w:tcBorders>
              <w:tl2br w:val="nil"/>
              <w:tr2bl w:val="nil"/>
            </w:tcBorders>
            <w:noWrap/>
            <w:vAlign w:val="center"/>
          </w:tcPr>
          <w:p w14:paraId="7B52272B">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提供指标生产工具，支持对指标的定义、逻辑以及模板管理：</w:t>
            </w:r>
          </w:p>
          <w:p w14:paraId="32AEDF97">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1）指标自定义：支持指标的定义、修改、删除等管理；</w:t>
            </w:r>
          </w:p>
          <w:p w14:paraId="584CDB9D">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2）指标逻辑：支持通过SQL定义指标逻辑；</w:t>
            </w:r>
          </w:p>
          <w:p w14:paraId="624E7EF0">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指标生产模板：支持</w:t>
            </w:r>
            <w:r>
              <w:rPr>
                <w:rFonts w:hint="eastAsia" w:ascii="宋体" w:hAnsi="宋体" w:eastAsia="宋体" w:cs="宋体"/>
                <w:sz w:val="21"/>
                <w:szCs w:val="21"/>
              </w:rPr>
              <w:t>指标模版的生产和管理。</w:t>
            </w:r>
          </w:p>
          <w:p w14:paraId="01523E30">
            <w:pPr>
              <w:pStyle w:val="44"/>
              <w:spacing w:line="240" w:lineRule="auto"/>
              <w:ind w:firstLine="0" w:firstLineChars="0"/>
              <w:jc w:val="left"/>
              <w:rPr>
                <w:rFonts w:ascii="Calibri" w:hAnsi="Calibri" w:eastAsiaTheme="minorEastAsia" w:cstheme="minorBidi"/>
                <w:sz w:val="21"/>
                <w:szCs w:val="22"/>
                <w:highlight w:val="yellow"/>
              </w:rPr>
            </w:pPr>
            <w:r>
              <w:rPr>
                <w:rFonts w:hint="eastAsia" w:ascii="宋体" w:hAnsi="宋体" w:eastAsia="宋体" w:cs="宋体"/>
                <w:sz w:val="21"/>
                <w:szCs w:val="21"/>
              </w:rPr>
              <w:t>4）指标生产任务执行</w:t>
            </w:r>
          </w:p>
        </w:tc>
      </w:tr>
      <w:tr w14:paraId="6776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293" w:type="dxa"/>
            <w:vMerge w:val="continue"/>
            <w:tcBorders>
              <w:tl2br w:val="nil"/>
              <w:tr2bl w:val="nil"/>
            </w:tcBorders>
            <w:noWrap/>
            <w:vAlign w:val="center"/>
          </w:tcPr>
          <w:p w14:paraId="18020FDA">
            <w:pPr>
              <w:spacing w:line="240" w:lineRule="auto"/>
              <w:rPr>
                <w:rFonts w:ascii="宋体" w:hAnsi="宋体" w:eastAsia="宋体" w:cs="宋体"/>
                <w:szCs w:val="21"/>
              </w:rPr>
            </w:pPr>
          </w:p>
        </w:tc>
        <w:tc>
          <w:tcPr>
            <w:tcW w:w="1559" w:type="dxa"/>
            <w:vMerge w:val="continue"/>
            <w:tcBorders>
              <w:tl2br w:val="nil"/>
              <w:tr2bl w:val="nil"/>
            </w:tcBorders>
          </w:tcPr>
          <w:p w14:paraId="17F79C02">
            <w:pPr>
              <w:spacing w:line="240" w:lineRule="auto"/>
              <w:rPr>
                <w:rFonts w:ascii="宋体" w:hAnsi="宋体" w:eastAsia="宋体" w:cs="宋体"/>
                <w:szCs w:val="21"/>
              </w:rPr>
            </w:pPr>
          </w:p>
        </w:tc>
        <w:tc>
          <w:tcPr>
            <w:tcW w:w="1560" w:type="dxa"/>
            <w:tcBorders>
              <w:tl2br w:val="nil"/>
              <w:tr2bl w:val="nil"/>
            </w:tcBorders>
            <w:noWrap/>
            <w:vAlign w:val="center"/>
          </w:tcPr>
          <w:p w14:paraId="0A38CD66">
            <w:pPr>
              <w:spacing w:line="240" w:lineRule="auto"/>
              <w:rPr>
                <w:rFonts w:ascii="宋体" w:hAnsi="宋体" w:eastAsia="宋体" w:cs="宋体"/>
                <w:szCs w:val="21"/>
              </w:rPr>
            </w:pPr>
            <w:r>
              <w:rPr>
                <w:rFonts w:ascii="宋体" w:hAnsi="宋体" w:eastAsia="宋体" w:cs="宋体"/>
                <w:szCs w:val="21"/>
              </w:rPr>
              <w:t>专病指标实例</w:t>
            </w:r>
          </w:p>
        </w:tc>
        <w:tc>
          <w:tcPr>
            <w:tcW w:w="4819" w:type="dxa"/>
            <w:tcBorders>
              <w:tl2br w:val="nil"/>
              <w:tr2bl w:val="nil"/>
            </w:tcBorders>
            <w:noWrap/>
            <w:vAlign w:val="center"/>
          </w:tcPr>
          <w:p w14:paraId="5B668AD7">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专病指标数据完成计算后，形成指标实例数据。</w:t>
            </w:r>
          </w:p>
          <w:p w14:paraId="3FFBC79E">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1）针对某一个专病指标，可以查看该指标的实例数据。</w:t>
            </w:r>
          </w:p>
          <w:p w14:paraId="6096C7CA">
            <w:pPr>
              <w:pStyle w:val="44"/>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2）可以对实例数据进行过滤，支持根据患者ID，流水号，以及实例数据值进行过滤。</w:t>
            </w:r>
          </w:p>
          <w:p w14:paraId="007124E3">
            <w:pPr>
              <w:pStyle w:val="44"/>
              <w:spacing w:line="240" w:lineRule="auto"/>
              <w:ind w:firstLine="0" w:firstLineChars="0"/>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）支持对实例数据进行统计分析。</w:t>
            </w:r>
          </w:p>
          <w:p w14:paraId="3351DE0A">
            <w:pPr>
              <w:pStyle w:val="44"/>
              <w:spacing w:line="240" w:lineRule="auto"/>
              <w:ind w:firstLine="0" w:firstLineChars="0"/>
              <w:jc w:val="left"/>
              <w:rPr>
                <w:rFonts w:cs="Times New Roman"/>
                <w:sz w:val="21"/>
                <w:highlight w:val="yellow"/>
              </w:rPr>
            </w:pPr>
            <w:r>
              <w:rPr>
                <w:rFonts w:ascii="宋体" w:hAnsi="宋体" w:eastAsia="宋体" w:cs="宋体"/>
                <w:sz w:val="21"/>
                <w:szCs w:val="21"/>
              </w:rPr>
              <w:t>4</w:t>
            </w:r>
            <w:r>
              <w:rPr>
                <w:rFonts w:hint="eastAsia" w:ascii="宋体" w:hAnsi="宋体" w:eastAsia="宋体" w:cs="宋体"/>
                <w:sz w:val="21"/>
                <w:szCs w:val="21"/>
              </w:rPr>
              <w:t>）支持对实例数据进行溯源。</w:t>
            </w:r>
          </w:p>
        </w:tc>
      </w:tr>
      <w:tr w14:paraId="1BB3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293" w:type="dxa"/>
            <w:vMerge w:val="restart"/>
            <w:tcBorders>
              <w:tl2br w:val="nil"/>
              <w:tr2bl w:val="nil"/>
            </w:tcBorders>
            <w:vAlign w:val="center"/>
          </w:tcPr>
          <w:p w14:paraId="1ADAEE52">
            <w:pPr>
              <w:spacing w:line="240" w:lineRule="auto"/>
              <w:jc w:val="center"/>
              <w:textAlignment w:val="center"/>
              <w:rPr>
                <w:rFonts w:ascii="宋体" w:hAnsi="宋体" w:eastAsia="宋体" w:cs="宋体"/>
                <w:szCs w:val="21"/>
                <w:lang w:bidi="ar"/>
              </w:rPr>
            </w:pPr>
            <w:bookmarkStart w:id="1" w:name="_Toc152250539"/>
            <w:bookmarkStart w:id="2" w:name="_Toc48236017"/>
            <w:bookmarkStart w:id="3" w:name="_Toc49161886"/>
            <w:bookmarkStart w:id="4" w:name="_Toc152251155"/>
            <w:bookmarkStart w:id="5" w:name="_Toc152333243"/>
            <w:r>
              <w:rPr>
                <w:rFonts w:hint="eastAsia" w:ascii="宋体" w:hAnsi="宋体" w:eastAsia="宋体" w:cs="宋体"/>
                <w:szCs w:val="21"/>
                <w:lang w:bidi="ar"/>
              </w:rPr>
              <w:t>专科数据应用</w:t>
            </w:r>
          </w:p>
        </w:tc>
        <w:tc>
          <w:tcPr>
            <w:tcW w:w="1559" w:type="dxa"/>
            <w:tcBorders>
              <w:tl2br w:val="nil"/>
              <w:tr2bl w:val="nil"/>
            </w:tcBorders>
          </w:tcPr>
          <w:p w14:paraId="477081DB">
            <w:pPr>
              <w:spacing w:line="240" w:lineRule="auto"/>
              <w:textAlignment w:val="center"/>
              <w:rPr>
                <w:rFonts w:ascii="宋体" w:hAnsi="宋体" w:eastAsia="宋体" w:cs="宋体"/>
                <w:szCs w:val="21"/>
                <w:lang w:bidi="ar"/>
              </w:rPr>
            </w:pPr>
          </w:p>
          <w:p w14:paraId="200D2B4E">
            <w:pPr>
              <w:spacing w:line="240" w:lineRule="auto"/>
              <w:textAlignment w:val="center"/>
              <w:rPr>
                <w:rFonts w:ascii="宋体" w:hAnsi="宋体" w:eastAsia="宋体" w:cs="宋体"/>
                <w:szCs w:val="21"/>
                <w:lang w:bidi="ar"/>
              </w:rPr>
            </w:pPr>
          </w:p>
          <w:p w14:paraId="4FE16851">
            <w:pPr>
              <w:spacing w:line="240" w:lineRule="auto"/>
              <w:textAlignment w:val="center"/>
              <w:rPr>
                <w:rFonts w:ascii="宋体" w:hAnsi="宋体" w:eastAsia="宋体" w:cs="宋体"/>
                <w:szCs w:val="21"/>
                <w:lang w:bidi="ar"/>
              </w:rPr>
            </w:pPr>
          </w:p>
          <w:p w14:paraId="39FEE152">
            <w:pPr>
              <w:spacing w:line="240" w:lineRule="auto"/>
              <w:textAlignment w:val="center"/>
              <w:rPr>
                <w:rFonts w:ascii="宋体" w:hAnsi="宋体" w:eastAsia="宋体" w:cs="宋体"/>
                <w:szCs w:val="21"/>
                <w:lang w:bidi="ar"/>
              </w:rPr>
            </w:pPr>
          </w:p>
          <w:p w14:paraId="362E2C36">
            <w:pPr>
              <w:spacing w:line="240" w:lineRule="auto"/>
              <w:textAlignment w:val="center"/>
              <w:rPr>
                <w:rFonts w:ascii="宋体" w:hAnsi="宋体" w:eastAsia="宋体" w:cs="宋体"/>
                <w:szCs w:val="21"/>
                <w:lang w:bidi="ar"/>
              </w:rPr>
            </w:pPr>
          </w:p>
          <w:p w14:paraId="6CF4805D">
            <w:pPr>
              <w:spacing w:line="240" w:lineRule="auto"/>
              <w:textAlignment w:val="center"/>
              <w:rPr>
                <w:rFonts w:ascii="宋体" w:hAnsi="宋体" w:eastAsia="宋体" w:cs="宋体"/>
                <w:szCs w:val="21"/>
                <w:lang w:bidi="ar"/>
              </w:rPr>
            </w:pPr>
          </w:p>
          <w:p w14:paraId="3E7DE6F2">
            <w:pPr>
              <w:spacing w:line="240" w:lineRule="auto"/>
              <w:textAlignment w:val="center"/>
              <w:rPr>
                <w:rFonts w:ascii="宋体" w:hAnsi="宋体" w:eastAsia="宋体" w:cs="宋体"/>
                <w:szCs w:val="21"/>
                <w:lang w:bidi="ar"/>
              </w:rPr>
            </w:pPr>
          </w:p>
          <w:p w14:paraId="368C2CCB">
            <w:pPr>
              <w:spacing w:line="240" w:lineRule="auto"/>
              <w:textAlignment w:val="center"/>
              <w:rPr>
                <w:rFonts w:ascii="宋体" w:hAnsi="宋体" w:eastAsia="宋体" w:cs="宋体"/>
                <w:szCs w:val="21"/>
                <w:lang w:bidi="ar"/>
              </w:rPr>
            </w:pPr>
          </w:p>
          <w:p w14:paraId="5DBDD06D">
            <w:pPr>
              <w:spacing w:line="240" w:lineRule="auto"/>
              <w:textAlignment w:val="center"/>
              <w:rPr>
                <w:rFonts w:ascii="宋体" w:hAnsi="宋体" w:eastAsia="宋体" w:cs="宋体"/>
                <w:szCs w:val="21"/>
              </w:rPr>
            </w:pPr>
            <w:r>
              <w:rPr>
                <w:rFonts w:hint="eastAsia" w:ascii="宋体" w:hAnsi="宋体" w:eastAsia="宋体" w:cs="宋体"/>
                <w:szCs w:val="21"/>
                <w:lang w:bidi="ar"/>
              </w:rPr>
              <w:t>泌尿系结石及合并感染专病数据库</w:t>
            </w:r>
          </w:p>
        </w:tc>
        <w:tc>
          <w:tcPr>
            <w:tcW w:w="1560" w:type="dxa"/>
            <w:tcBorders>
              <w:tl2br w:val="nil"/>
              <w:tr2bl w:val="nil"/>
            </w:tcBorders>
            <w:vAlign w:val="center"/>
          </w:tcPr>
          <w:p w14:paraId="127112A0">
            <w:pPr>
              <w:spacing w:line="240" w:lineRule="auto"/>
              <w:textAlignment w:val="center"/>
              <w:rPr>
                <w:rFonts w:ascii="宋体" w:hAnsi="宋体" w:eastAsia="宋体" w:cs="宋体"/>
                <w:szCs w:val="21"/>
              </w:rPr>
            </w:pPr>
            <w:r>
              <w:rPr>
                <w:rFonts w:hint="eastAsia" w:ascii="宋体" w:hAnsi="宋体" w:eastAsia="宋体" w:cs="宋体"/>
                <w:szCs w:val="21"/>
              </w:rPr>
              <w:t>专病数据库</w:t>
            </w:r>
          </w:p>
        </w:tc>
        <w:tc>
          <w:tcPr>
            <w:tcW w:w="4819" w:type="dxa"/>
            <w:tcBorders>
              <w:tl2br w:val="nil"/>
              <w:tr2bl w:val="nil"/>
            </w:tcBorders>
            <w:vAlign w:val="center"/>
          </w:tcPr>
          <w:p w14:paraId="7D9B62DB">
            <w:pPr>
              <w:spacing w:line="240" w:lineRule="auto"/>
              <w:jc w:val="left"/>
              <w:rPr>
                <w:rFonts w:ascii="宋体" w:hAnsi="宋体" w:eastAsia="宋体" w:cs="宋体"/>
                <w:szCs w:val="21"/>
              </w:rPr>
            </w:pPr>
            <w:r>
              <w:rPr>
                <w:rFonts w:hint="eastAsia" w:ascii="宋体" w:hAnsi="宋体" w:eastAsia="宋体" w:cs="宋体"/>
                <w:szCs w:val="21"/>
                <w:lang w:bidi="ar"/>
              </w:rPr>
              <w:t>泌尿系结石及合并感染</w:t>
            </w:r>
            <w:r>
              <w:rPr>
                <w:rFonts w:hint="eastAsia" w:ascii="宋体" w:hAnsi="宋体" w:eastAsia="宋体" w:cs="宋体"/>
                <w:bCs/>
                <w:szCs w:val="21"/>
                <w:lang w:bidi="ar"/>
              </w:rPr>
              <w:t>专病</w:t>
            </w:r>
            <w:r>
              <w:rPr>
                <w:rFonts w:hint="eastAsia" w:ascii="宋体" w:hAnsi="宋体" w:eastAsia="宋体" w:cs="宋体"/>
                <w:bCs/>
                <w:szCs w:val="21"/>
              </w:rPr>
              <w:t>数据库</w:t>
            </w:r>
            <w:r>
              <w:rPr>
                <w:rFonts w:hint="eastAsia" w:ascii="宋体" w:hAnsi="宋体" w:eastAsia="宋体" w:cs="宋体"/>
                <w:szCs w:val="21"/>
              </w:rPr>
              <w:t>：</w:t>
            </w:r>
          </w:p>
          <w:p w14:paraId="42804116">
            <w:pPr>
              <w:pStyle w:val="7"/>
              <w:keepNext w:val="0"/>
              <w:keepLines w:val="0"/>
              <w:tabs>
                <w:tab w:val="left" w:pos="0"/>
                <w:tab w:val="clear" w:pos="1008"/>
              </w:tabs>
              <w:spacing w:before="0" w:after="0" w:line="240" w:lineRule="auto"/>
              <w:ind w:left="0" w:firstLine="0"/>
              <w:jc w:val="left"/>
              <w:rPr>
                <w:rFonts w:ascii="宋体" w:hAnsi="宋体" w:eastAsia="宋体" w:cs="宋体"/>
                <w:b w:val="0"/>
                <w:bCs/>
                <w:sz w:val="21"/>
                <w:szCs w:val="21"/>
              </w:rPr>
            </w:pPr>
            <w:r>
              <w:rPr>
                <w:rFonts w:hint="eastAsia" w:ascii="宋体" w:hAnsi="宋体" w:eastAsia="宋体" w:cs="宋体"/>
                <w:b w:val="0"/>
                <w:bCs/>
                <w:sz w:val="21"/>
                <w:szCs w:val="21"/>
              </w:rPr>
              <w:t>1.专病指标定义</w:t>
            </w:r>
          </w:p>
          <w:p w14:paraId="7E32995E">
            <w:pPr>
              <w:snapToGrid/>
              <w:spacing w:line="240" w:lineRule="auto"/>
              <w:jc w:val="left"/>
              <w:rPr>
                <w:rFonts w:ascii="宋体" w:hAnsi="宋体" w:eastAsia="宋体" w:cs="宋体"/>
                <w:szCs w:val="21"/>
              </w:rPr>
            </w:pPr>
            <w:r>
              <w:rPr>
                <w:rFonts w:hint="eastAsia" w:ascii="宋体" w:hAnsi="宋体" w:eastAsia="宋体" w:cs="宋体"/>
                <w:szCs w:val="21"/>
              </w:rPr>
              <w:t>根据项目要求定义</w:t>
            </w:r>
            <w:r>
              <w:rPr>
                <w:rFonts w:hint="eastAsia" w:ascii="宋体" w:hAnsi="宋体" w:eastAsia="宋体" w:cs="宋体"/>
                <w:szCs w:val="21"/>
                <w:lang w:bidi="ar"/>
              </w:rPr>
              <w:t>泌尿系结石及合并感染</w:t>
            </w:r>
            <w:r>
              <w:rPr>
                <w:rFonts w:hint="eastAsia" w:ascii="宋体" w:hAnsi="宋体" w:eastAsia="宋体" w:cs="宋体"/>
                <w:bCs/>
                <w:szCs w:val="21"/>
                <w:lang w:bidi="ar"/>
              </w:rPr>
              <w:t>专病数据指标</w:t>
            </w:r>
            <w:r>
              <w:rPr>
                <w:rFonts w:hint="eastAsia" w:ascii="宋体" w:hAnsi="宋体" w:eastAsia="宋体" w:cs="宋体"/>
                <w:szCs w:val="21"/>
              </w:rPr>
              <w:t>。</w:t>
            </w:r>
          </w:p>
          <w:p w14:paraId="2D99D76B">
            <w:pPr>
              <w:snapToGrid/>
              <w:spacing w:line="240" w:lineRule="auto"/>
              <w:jc w:val="left"/>
              <w:rPr>
                <w:rFonts w:ascii="宋体" w:hAnsi="宋体" w:eastAsia="宋体" w:cs="宋体"/>
                <w:szCs w:val="21"/>
              </w:rPr>
            </w:pPr>
            <w:r>
              <w:rPr>
                <w:rFonts w:hint="eastAsia" w:ascii="宋体" w:hAnsi="宋体" w:eastAsia="宋体" w:cs="宋体"/>
                <w:szCs w:val="21"/>
              </w:rPr>
              <w:t>1）定义疾病指标的基本属性，包括分类、名 称、描述、数据类型、物理存储等。</w:t>
            </w:r>
          </w:p>
          <w:p w14:paraId="655F8D48">
            <w:pPr>
              <w:snapToGrid/>
              <w:spacing w:line="240" w:lineRule="auto"/>
              <w:jc w:val="left"/>
              <w:rPr>
                <w:rFonts w:ascii="宋体" w:hAnsi="宋体" w:eastAsia="宋体" w:cs="宋体"/>
                <w:szCs w:val="21"/>
              </w:rPr>
            </w:pPr>
            <w:r>
              <w:rPr>
                <w:rFonts w:hint="eastAsia" w:ascii="宋体" w:hAnsi="宋体" w:eastAsia="宋体" w:cs="宋体"/>
                <w:szCs w:val="21"/>
              </w:rPr>
              <w:t>2）定义指标的计算逻辑（计算模板），在规范化数据的基础上，形成指标逻辑。</w:t>
            </w:r>
          </w:p>
          <w:p w14:paraId="27437784">
            <w:pPr>
              <w:snapToGrid/>
              <w:spacing w:line="240" w:lineRule="auto"/>
              <w:jc w:val="left"/>
              <w:rPr>
                <w:rFonts w:ascii="宋体" w:hAnsi="宋体" w:eastAsia="宋体" w:cs="宋体"/>
                <w:szCs w:val="21"/>
              </w:rPr>
            </w:pPr>
            <w:r>
              <w:rPr>
                <w:rFonts w:hint="eastAsia" w:ascii="宋体" w:hAnsi="宋体" w:eastAsia="宋体" w:cs="宋体"/>
                <w:szCs w:val="21"/>
              </w:rPr>
              <w:t>3）定义指标的校验规则。</w:t>
            </w:r>
          </w:p>
          <w:p w14:paraId="28E88512">
            <w:pPr>
              <w:snapToGrid/>
              <w:spacing w:line="240" w:lineRule="auto"/>
              <w:jc w:val="left"/>
              <w:rPr>
                <w:rFonts w:ascii="宋体" w:hAnsi="宋体" w:eastAsia="宋体" w:cs="宋体"/>
                <w:szCs w:val="21"/>
              </w:rPr>
            </w:pPr>
            <w:r>
              <w:rPr>
                <w:rFonts w:hint="eastAsia" w:ascii="宋体" w:hAnsi="宋体" w:eastAsia="宋体" w:cs="宋体"/>
                <w:szCs w:val="21"/>
              </w:rPr>
              <w:t>4）建立数据溯源关系逻辑配置。</w:t>
            </w:r>
          </w:p>
          <w:p w14:paraId="62EDEF32">
            <w:pPr>
              <w:snapToGrid/>
              <w:spacing w:line="240" w:lineRule="auto"/>
              <w:jc w:val="left"/>
              <w:rPr>
                <w:rFonts w:ascii="宋体" w:hAnsi="宋体" w:eastAsia="宋体" w:cs="宋体"/>
                <w:szCs w:val="21"/>
              </w:rPr>
            </w:pPr>
            <w:r>
              <w:rPr>
                <w:rFonts w:hint="eastAsia" w:ascii="宋体" w:hAnsi="宋体" w:eastAsia="宋体" w:cs="宋体"/>
                <w:szCs w:val="21"/>
              </w:rPr>
              <w:t>2、专病指标实例</w:t>
            </w:r>
          </w:p>
          <w:p w14:paraId="055A0A97">
            <w:pPr>
              <w:snapToGrid/>
              <w:spacing w:line="240" w:lineRule="auto"/>
              <w:jc w:val="left"/>
              <w:rPr>
                <w:rFonts w:ascii="宋体" w:hAnsi="宋体" w:eastAsia="宋体" w:cs="宋体"/>
                <w:szCs w:val="21"/>
              </w:rPr>
            </w:pPr>
            <w:r>
              <w:rPr>
                <w:rFonts w:hint="eastAsia" w:ascii="宋体" w:hAnsi="宋体" w:eastAsia="宋体" w:cs="宋体"/>
                <w:szCs w:val="21"/>
              </w:rPr>
              <w:t>专病指标数据完成计算后，形成指标实例数据。</w:t>
            </w:r>
          </w:p>
          <w:p w14:paraId="2FF67E15">
            <w:pPr>
              <w:snapToGrid/>
              <w:spacing w:line="240" w:lineRule="auto"/>
              <w:jc w:val="left"/>
              <w:rPr>
                <w:rFonts w:ascii="宋体" w:hAnsi="宋体" w:eastAsia="宋体" w:cs="宋体"/>
                <w:szCs w:val="21"/>
              </w:rPr>
            </w:pPr>
            <w:r>
              <w:rPr>
                <w:rFonts w:hint="eastAsia" w:ascii="宋体" w:hAnsi="宋体" w:eastAsia="宋体" w:cs="宋体"/>
                <w:szCs w:val="21"/>
              </w:rPr>
              <w:t>1）针对某一个专病指标，可以查看该指标的实例数据；</w:t>
            </w:r>
          </w:p>
          <w:p w14:paraId="43811A41">
            <w:pPr>
              <w:snapToGrid/>
              <w:spacing w:line="240" w:lineRule="auto"/>
              <w:jc w:val="left"/>
              <w:rPr>
                <w:rFonts w:ascii="宋体" w:hAnsi="宋体" w:eastAsia="宋体" w:cs="宋体"/>
                <w:szCs w:val="21"/>
              </w:rPr>
            </w:pPr>
            <w:r>
              <w:rPr>
                <w:rFonts w:hint="eastAsia" w:ascii="宋体" w:hAnsi="宋体" w:eastAsia="宋体" w:cs="宋体"/>
                <w:szCs w:val="21"/>
              </w:rPr>
              <w:t>2）可以对实例数据进行过滤，支持根据患者ID，流水号，以及实例数据值进行过滤；</w:t>
            </w:r>
          </w:p>
          <w:p w14:paraId="2B151E82">
            <w:pPr>
              <w:snapToGrid/>
              <w:spacing w:line="240" w:lineRule="auto"/>
              <w:jc w:val="left"/>
              <w:rPr>
                <w:rFonts w:ascii="宋体" w:hAnsi="宋体" w:eastAsia="宋体" w:cs="宋体"/>
                <w:szCs w:val="21"/>
              </w:rPr>
            </w:pPr>
            <w:r>
              <w:rPr>
                <w:rFonts w:hint="eastAsia" w:ascii="宋体" w:hAnsi="宋体" w:eastAsia="宋体" w:cs="宋体"/>
                <w:szCs w:val="21"/>
              </w:rPr>
              <w:t>3）支持对实例数据进行统计分析；</w:t>
            </w:r>
          </w:p>
          <w:p w14:paraId="12A0B75B">
            <w:pPr>
              <w:snapToGrid/>
              <w:spacing w:line="240" w:lineRule="auto"/>
              <w:jc w:val="left"/>
              <w:rPr>
                <w:rFonts w:ascii="宋体" w:hAnsi="宋体" w:eastAsia="宋体" w:cs="宋体"/>
                <w:szCs w:val="21"/>
              </w:rPr>
            </w:pPr>
            <w:r>
              <w:rPr>
                <w:rFonts w:hint="eastAsia" w:ascii="宋体" w:hAnsi="宋体" w:eastAsia="宋体" w:cs="宋体"/>
                <w:szCs w:val="21"/>
              </w:rPr>
              <w:t>4）支持对实例数据进行溯源。</w:t>
            </w:r>
          </w:p>
          <w:p w14:paraId="5018B0A3">
            <w:pPr>
              <w:pStyle w:val="7"/>
              <w:keepNext w:val="0"/>
              <w:keepLines w:val="0"/>
              <w:tabs>
                <w:tab w:val="left" w:pos="0"/>
                <w:tab w:val="left" w:pos="840"/>
                <w:tab w:val="clear" w:pos="1008"/>
              </w:tabs>
              <w:spacing w:before="0" w:after="0" w:line="240" w:lineRule="auto"/>
              <w:ind w:left="0" w:firstLine="0"/>
              <w:jc w:val="left"/>
              <w:rPr>
                <w:rFonts w:ascii="宋体" w:hAnsi="宋体" w:eastAsia="宋体" w:cs="宋体"/>
                <w:b w:val="0"/>
                <w:bCs/>
                <w:sz w:val="21"/>
                <w:szCs w:val="21"/>
              </w:rPr>
            </w:pPr>
            <w:r>
              <w:rPr>
                <w:rFonts w:hint="eastAsia" w:ascii="宋体" w:hAnsi="宋体" w:eastAsia="宋体" w:cs="宋体"/>
                <w:b w:val="0"/>
                <w:bCs/>
                <w:sz w:val="21"/>
                <w:szCs w:val="21"/>
              </w:rPr>
              <w:t>3. 专病指标溯源</w:t>
            </w:r>
          </w:p>
          <w:p w14:paraId="33CF9EFE">
            <w:pPr>
              <w:snapToGrid/>
              <w:spacing w:line="240" w:lineRule="auto"/>
              <w:jc w:val="left"/>
              <w:rPr>
                <w:rFonts w:ascii="宋体" w:hAnsi="宋体" w:eastAsia="宋体" w:cs="宋体"/>
                <w:szCs w:val="21"/>
              </w:rPr>
            </w:pPr>
            <w:r>
              <w:rPr>
                <w:rFonts w:hint="eastAsia" w:ascii="宋体" w:hAnsi="宋体" w:eastAsia="宋体" w:cs="宋体"/>
                <w:szCs w:val="21"/>
              </w:rPr>
              <w:t>定义专病指标对数据的溯源管理，可以展示数据节点之间数据转换的关联关系，包括：</w:t>
            </w:r>
          </w:p>
          <w:p w14:paraId="74768FE0">
            <w:pPr>
              <w:snapToGrid/>
              <w:spacing w:line="240" w:lineRule="auto"/>
              <w:jc w:val="left"/>
              <w:rPr>
                <w:rFonts w:ascii="宋体" w:hAnsi="宋体" w:eastAsia="宋体" w:cs="宋体"/>
                <w:szCs w:val="21"/>
              </w:rPr>
            </w:pPr>
            <w:r>
              <w:rPr>
                <w:rFonts w:hint="eastAsia" w:ascii="宋体" w:hAnsi="宋体" w:eastAsia="宋体" w:cs="宋体"/>
                <w:szCs w:val="21"/>
              </w:rPr>
              <w:t>1）血缘关系：对数据血缘关系的展示，包括源数据、规范化数据（后结构化和归一）、指标数据以及应用层数据节点之间的映射关系，呈现数据的逻辑关系。</w:t>
            </w:r>
          </w:p>
          <w:p w14:paraId="21BD91E1">
            <w:pPr>
              <w:snapToGrid/>
              <w:spacing w:line="240" w:lineRule="auto"/>
              <w:jc w:val="left"/>
              <w:rPr>
                <w:rFonts w:ascii="宋体" w:hAnsi="宋体" w:eastAsia="宋体" w:cs="宋体"/>
                <w:szCs w:val="21"/>
              </w:rPr>
            </w:pPr>
            <w:r>
              <w:rPr>
                <w:rFonts w:hint="eastAsia" w:ascii="宋体" w:hAnsi="宋体" w:eastAsia="宋体" w:cs="宋体"/>
                <w:szCs w:val="21"/>
              </w:rPr>
              <w:t>2）实例溯源关系：在血缘关系的基础上，展示具体数据转换或者计算的关系。实例溯源中的每个节点（数据值）都带有索引。</w:t>
            </w:r>
          </w:p>
        </w:tc>
      </w:tr>
      <w:tr w14:paraId="4F69A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1293" w:type="dxa"/>
            <w:vMerge w:val="continue"/>
            <w:tcBorders>
              <w:tl2br w:val="nil"/>
              <w:tr2bl w:val="nil"/>
            </w:tcBorders>
            <w:vAlign w:val="center"/>
          </w:tcPr>
          <w:p w14:paraId="065AF596">
            <w:pPr>
              <w:spacing w:line="240" w:lineRule="auto"/>
              <w:jc w:val="center"/>
              <w:textAlignment w:val="center"/>
              <w:rPr>
                <w:rFonts w:ascii="宋体" w:hAnsi="宋体" w:eastAsia="宋体" w:cs="宋体"/>
                <w:szCs w:val="21"/>
                <w:lang w:bidi="ar"/>
              </w:rPr>
            </w:pPr>
          </w:p>
        </w:tc>
        <w:tc>
          <w:tcPr>
            <w:tcW w:w="1559" w:type="dxa"/>
            <w:tcBorders>
              <w:tl2br w:val="nil"/>
              <w:tr2bl w:val="nil"/>
            </w:tcBorders>
          </w:tcPr>
          <w:p w14:paraId="6CF7FC7A">
            <w:pPr>
              <w:spacing w:line="240" w:lineRule="auto"/>
              <w:textAlignment w:val="center"/>
              <w:rPr>
                <w:rFonts w:ascii="宋体" w:hAnsi="宋体" w:eastAsia="宋体" w:cs="宋体"/>
                <w:szCs w:val="21"/>
              </w:rPr>
            </w:pPr>
          </w:p>
        </w:tc>
        <w:tc>
          <w:tcPr>
            <w:tcW w:w="1560" w:type="dxa"/>
            <w:tcBorders>
              <w:tl2br w:val="nil"/>
              <w:tr2bl w:val="nil"/>
            </w:tcBorders>
            <w:vAlign w:val="center"/>
          </w:tcPr>
          <w:p w14:paraId="38CDFDA4">
            <w:pPr>
              <w:spacing w:line="240" w:lineRule="auto"/>
              <w:textAlignment w:val="center"/>
              <w:rPr>
                <w:rFonts w:ascii="宋体" w:hAnsi="宋体" w:eastAsia="宋体" w:cs="宋体"/>
                <w:szCs w:val="21"/>
              </w:rPr>
            </w:pPr>
            <w:r>
              <w:rPr>
                <w:rFonts w:hint="eastAsia" w:ascii="宋体" w:hAnsi="宋体" w:eastAsia="宋体" w:cs="宋体"/>
                <w:szCs w:val="21"/>
              </w:rPr>
              <w:t>科研主题库</w:t>
            </w:r>
          </w:p>
        </w:tc>
        <w:tc>
          <w:tcPr>
            <w:tcW w:w="4819" w:type="dxa"/>
            <w:tcBorders>
              <w:tl2br w:val="nil"/>
              <w:tr2bl w:val="nil"/>
            </w:tcBorders>
            <w:vAlign w:val="center"/>
          </w:tcPr>
          <w:p w14:paraId="5E0C01C2">
            <w:pPr>
              <w:snapToGrid/>
              <w:spacing w:line="240" w:lineRule="auto"/>
              <w:jc w:val="left"/>
              <w:rPr>
                <w:rFonts w:ascii="宋体" w:hAnsi="宋体" w:eastAsia="宋体" w:cs="宋体"/>
                <w:szCs w:val="21"/>
              </w:rPr>
            </w:pPr>
            <w:r>
              <w:rPr>
                <w:rFonts w:hint="eastAsia" w:ascii="宋体" w:hAnsi="宋体" w:eastAsia="宋体" w:cs="宋体"/>
                <w:szCs w:val="21"/>
              </w:rPr>
              <w:t>根据汇集的数据建设泌尿系结石及合并感染疾主题数据库：</w:t>
            </w:r>
          </w:p>
          <w:p w14:paraId="3D5533EF">
            <w:pPr>
              <w:snapToGrid/>
              <w:spacing w:line="240" w:lineRule="auto"/>
              <w:jc w:val="left"/>
              <w:rPr>
                <w:rFonts w:ascii="宋体" w:hAnsi="宋体" w:eastAsia="宋体" w:cs="宋体"/>
                <w:szCs w:val="21"/>
              </w:rPr>
            </w:pPr>
            <w:r>
              <w:rPr>
                <w:rFonts w:hint="eastAsia" w:ascii="宋体" w:hAnsi="宋体" w:eastAsia="宋体" w:cs="宋体"/>
                <w:szCs w:val="21"/>
              </w:rPr>
              <w:t>1.科研主题库管理</w:t>
            </w:r>
          </w:p>
          <w:p w14:paraId="702A64D9">
            <w:pPr>
              <w:snapToGrid/>
              <w:spacing w:line="240" w:lineRule="auto"/>
              <w:jc w:val="left"/>
              <w:rPr>
                <w:rFonts w:ascii="宋体" w:hAnsi="宋体" w:eastAsia="宋体" w:cs="宋体"/>
                <w:szCs w:val="21"/>
              </w:rPr>
            </w:pPr>
            <w:r>
              <w:rPr>
                <w:rFonts w:hint="eastAsia" w:ascii="宋体" w:hAnsi="宋体" w:eastAsia="宋体" w:cs="宋体"/>
                <w:szCs w:val="21"/>
              </w:rPr>
              <w:t>(1)科研主题库管理</w:t>
            </w:r>
          </w:p>
          <w:p w14:paraId="4E0CAED2">
            <w:pPr>
              <w:pStyle w:val="2"/>
              <w:spacing w:line="240" w:lineRule="auto"/>
              <w:jc w:val="left"/>
              <w:rPr>
                <w:rFonts w:ascii="宋体" w:hAnsi="宋体" w:eastAsia="宋体" w:cs="宋体"/>
                <w:szCs w:val="21"/>
              </w:rPr>
            </w:pPr>
            <w:r>
              <w:rPr>
                <w:rFonts w:hint="eastAsia" w:ascii="宋体" w:hAnsi="宋体" w:eastAsia="宋体" w:cs="宋体"/>
                <w:szCs w:val="21"/>
              </w:rPr>
              <w:t>科研主题库管理包括以下的功能：</w:t>
            </w:r>
          </w:p>
          <w:p w14:paraId="4C4D5E8A">
            <w:pPr>
              <w:pStyle w:val="2"/>
              <w:spacing w:line="240" w:lineRule="auto"/>
              <w:jc w:val="left"/>
              <w:rPr>
                <w:rFonts w:ascii="宋体" w:hAnsi="宋体" w:eastAsia="宋体" w:cs="宋体"/>
                <w:szCs w:val="21"/>
              </w:rPr>
            </w:pPr>
            <w:r>
              <w:rPr>
                <w:rFonts w:hint="eastAsia" w:ascii="宋体" w:hAnsi="宋体" w:eastAsia="宋体" w:cs="宋体"/>
                <w:szCs w:val="21"/>
              </w:rPr>
              <w:t>1）支持创建科研主题库，科研主题库可关联到专病库指标列表，按科研主题库为单位管理科研数据需求。</w:t>
            </w:r>
          </w:p>
          <w:p w14:paraId="2D755E12">
            <w:pPr>
              <w:pStyle w:val="2"/>
              <w:spacing w:line="240" w:lineRule="auto"/>
              <w:jc w:val="left"/>
              <w:rPr>
                <w:rFonts w:ascii="宋体" w:hAnsi="宋体" w:eastAsia="宋体" w:cs="宋体"/>
                <w:szCs w:val="21"/>
              </w:rPr>
            </w:pPr>
            <w:r>
              <w:rPr>
                <w:rFonts w:hint="eastAsia" w:ascii="宋体" w:hAnsi="宋体" w:eastAsia="宋体" w:cs="宋体"/>
                <w:szCs w:val="21"/>
              </w:rPr>
              <w:t>2）科研主题库指标需求分析和管理。</w:t>
            </w:r>
          </w:p>
          <w:p w14:paraId="2AB56024">
            <w:pPr>
              <w:pStyle w:val="2"/>
              <w:spacing w:line="240" w:lineRule="auto"/>
              <w:jc w:val="left"/>
              <w:rPr>
                <w:rFonts w:ascii="宋体" w:hAnsi="宋体" w:eastAsia="宋体" w:cs="宋体"/>
                <w:szCs w:val="21"/>
              </w:rPr>
            </w:pPr>
            <w:r>
              <w:rPr>
                <w:rFonts w:hint="eastAsia" w:ascii="宋体" w:hAnsi="宋体" w:eastAsia="宋体" w:cs="宋体"/>
                <w:szCs w:val="21"/>
              </w:rPr>
              <w:t>3）科研主题库提供的需求指标管理规范，定义了用户补充需求所需字段，用户可以按指标颗粒度进行需求，通过类别分类明确数据的含义并提供数据的维度信息，并指明指标数据的来源。</w:t>
            </w:r>
          </w:p>
          <w:p w14:paraId="0E157ADD">
            <w:pPr>
              <w:pStyle w:val="2"/>
              <w:spacing w:line="240" w:lineRule="auto"/>
              <w:jc w:val="left"/>
              <w:rPr>
                <w:rFonts w:ascii="宋体" w:hAnsi="宋体" w:eastAsia="宋体" w:cs="宋体"/>
                <w:szCs w:val="21"/>
              </w:rPr>
            </w:pPr>
            <w:r>
              <w:rPr>
                <w:rFonts w:hint="eastAsia" w:ascii="宋体" w:hAnsi="宋体" w:eastAsia="宋体" w:cs="宋体"/>
                <w:szCs w:val="21"/>
              </w:rPr>
              <w:t>4）指标需求支持增删改查。</w:t>
            </w:r>
          </w:p>
          <w:p w14:paraId="2F5CF95D">
            <w:pPr>
              <w:pStyle w:val="2"/>
              <w:spacing w:line="240" w:lineRule="auto"/>
              <w:jc w:val="left"/>
              <w:rPr>
                <w:rFonts w:ascii="宋体" w:hAnsi="宋体" w:eastAsia="宋体" w:cs="宋体"/>
                <w:szCs w:val="21"/>
              </w:rPr>
            </w:pPr>
            <w:r>
              <w:rPr>
                <w:rFonts w:hint="eastAsia" w:ascii="宋体" w:hAnsi="宋体" w:eastAsia="宋体" w:cs="宋体"/>
                <w:szCs w:val="21"/>
              </w:rPr>
              <w:t>5）科研主题库与专病库指标关联管理。</w:t>
            </w:r>
          </w:p>
          <w:p w14:paraId="6DFE89F8">
            <w:pPr>
              <w:pStyle w:val="2"/>
              <w:spacing w:line="240" w:lineRule="auto"/>
              <w:jc w:val="left"/>
              <w:rPr>
                <w:rFonts w:ascii="宋体" w:hAnsi="宋体" w:eastAsia="宋体" w:cs="宋体"/>
                <w:szCs w:val="21"/>
              </w:rPr>
            </w:pPr>
            <w:r>
              <w:rPr>
                <w:rFonts w:hint="eastAsia" w:ascii="宋体" w:hAnsi="宋体" w:eastAsia="宋体" w:cs="宋体"/>
                <w:szCs w:val="21"/>
              </w:rPr>
              <w:t>2、科研主题库权限管理</w:t>
            </w:r>
          </w:p>
          <w:p w14:paraId="65BF64F1">
            <w:pPr>
              <w:pStyle w:val="2"/>
              <w:spacing w:line="240" w:lineRule="auto"/>
              <w:jc w:val="left"/>
              <w:rPr>
                <w:rFonts w:ascii="宋体" w:hAnsi="宋体" w:eastAsia="宋体" w:cs="宋体"/>
                <w:szCs w:val="21"/>
              </w:rPr>
            </w:pPr>
            <w:r>
              <w:rPr>
                <w:rFonts w:hint="eastAsia" w:ascii="宋体" w:hAnsi="宋体" w:eastAsia="宋体" w:cs="宋体"/>
                <w:szCs w:val="21"/>
              </w:rPr>
              <w:t>科研主题库依个人归属，实现科研主题库的权限管理。</w:t>
            </w:r>
          </w:p>
          <w:p w14:paraId="124489FF">
            <w:pPr>
              <w:pStyle w:val="2"/>
              <w:spacing w:line="240" w:lineRule="auto"/>
              <w:jc w:val="left"/>
              <w:rPr>
                <w:rFonts w:ascii="宋体" w:hAnsi="宋体" w:eastAsia="宋体" w:cs="宋体"/>
                <w:szCs w:val="21"/>
              </w:rPr>
            </w:pPr>
            <w:r>
              <w:rPr>
                <w:rFonts w:hint="eastAsia" w:ascii="宋体" w:hAnsi="宋体" w:eastAsia="宋体" w:cs="宋体"/>
                <w:szCs w:val="21"/>
              </w:rPr>
              <w:t>科研主题库的数据所有者，在平台上，归属到个人。科研主题库的创建者和授权者，才可以拥有科研主题库的访问权限。</w:t>
            </w:r>
          </w:p>
          <w:p w14:paraId="6F0D56EB">
            <w:pPr>
              <w:pStyle w:val="2"/>
              <w:spacing w:line="240" w:lineRule="auto"/>
              <w:jc w:val="left"/>
              <w:rPr>
                <w:rFonts w:ascii="宋体" w:hAnsi="宋体" w:eastAsia="宋体" w:cs="宋体"/>
                <w:szCs w:val="21"/>
              </w:rPr>
            </w:pPr>
            <w:r>
              <w:rPr>
                <w:rFonts w:hint="eastAsia" w:ascii="宋体" w:hAnsi="宋体" w:eastAsia="宋体" w:cs="宋体"/>
                <w:szCs w:val="21"/>
              </w:rPr>
              <w:t>科研主题库可以由创建者授权给其他用户访问。</w:t>
            </w:r>
          </w:p>
          <w:p w14:paraId="112C2CB0">
            <w:pPr>
              <w:pStyle w:val="2"/>
              <w:spacing w:line="240" w:lineRule="auto"/>
              <w:jc w:val="left"/>
              <w:rPr>
                <w:rFonts w:ascii="宋体" w:hAnsi="宋体" w:eastAsia="宋体" w:cs="宋体"/>
                <w:szCs w:val="21"/>
              </w:rPr>
            </w:pPr>
            <w:r>
              <w:rPr>
                <w:rFonts w:hint="eastAsia" w:ascii="宋体" w:hAnsi="宋体" w:eastAsia="宋体" w:cs="宋体"/>
                <w:szCs w:val="21"/>
              </w:rPr>
              <w:t>3、我的主题库</w:t>
            </w:r>
          </w:p>
          <w:p w14:paraId="27D44FB6">
            <w:pPr>
              <w:pStyle w:val="2"/>
              <w:spacing w:line="240" w:lineRule="auto"/>
              <w:jc w:val="left"/>
              <w:rPr>
                <w:rFonts w:ascii="宋体" w:hAnsi="宋体" w:eastAsia="宋体" w:cs="宋体"/>
                <w:szCs w:val="21"/>
              </w:rPr>
            </w:pPr>
            <w:r>
              <w:rPr>
                <w:rFonts w:hint="eastAsia" w:ascii="宋体" w:hAnsi="宋体" w:eastAsia="宋体" w:cs="宋体"/>
                <w:szCs w:val="21"/>
              </w:rPr>
              <w:t>科研人员管理和使用“我的主题库”功能查看自己的科研主题库数据，包括自己创建的科研主题库的报告数据集，以及被授权的数据集。</w:t>
            </w:r>
          </w:p>
          <w:p w14:paraId="02F64F2C">
            <w:pPr>
              <w:pStyle w:val="2"/>
              <w:spacing w:line="240" w:lineRule="auto"/>
              <w:jc w:val="left"/>
              <w:rPr>
                <w:rFonts w:ascii="宋体" w:hAnsi="宋体" w:eastAsia="宋体" w:cs="宋体"/>
                <w:szCs w:val="21"/>
              </w:rPr>
            </w:pPr>
            <w:r>
              <w:rPr>
                <w:rFonts w:hint="eastAsia" w:ascii="宋体" w:hAnsi="宋体" w:eastAsia="宋体" w:cs="宋体"/>
                <w:szCs w:val="21"/>
              </w:rPr>
              <w:t>1）查看个人数据集/科研主题库。</w:t>
            </w:r>
          </w:p>
          <w:p w14:paraId="5374968B">
            <w:pPr>
              <w:pStyle w:val="2"/>
              <w:spacing w:line="240" w:lineRule="auto"/>
              <w:jc w:val="left"/>
              <w:rPr>
                <w:rFonts w:ascii="宋体" w:hAnsi="宋体" w:eastAsia="宋体" w:cs="宋体"/>
                <w:szCs w:val="21"/>
              </w:rPr>
            </w:pPr>
            <w:r>
              <w:rPr>
                <w:rFonts w:hint="eastAsia" w:ascii="宋体" w:hAnsi="宋体" w:eastAsia="宋体" w:cs="宋体"/>
                <w:szCs w:val="21"/>
              </w:rPr>
              <w:t>2）查看数据集实例，可以在数据集实例中查看并对数据进行实例溯源。</w:t>
            </w:r>
          </w:p>
          <w:p w14:paraId="0D921702">
            <w:pPr>
              <w:pStyle w:val="2"/>
              <w:spacing w:line="240" w:lineRule="auto"/>
              <w:jc w:val="left"/>
              <w:rPr>
                <w:rFonts w:ascii="宋体" w:hAnsi="宋体" w:eastAsia="宋体" w:cs="宋体"/>
                <w:szCs w:val="21"/>
              </w:rPr>
            </w:pPr>
            <w:r>
              <w:rPr>
                <w:rFonts w:hint="eastAsia" w:ascii="宋体" w:hAnsi="宋体" w:eastAsia="宋体" w:cs="宋体"/>
                <w:szCs w:val="21"/>
              </w:rPr>
              <w:t>3）下载数据集。</w:t>
            </w:r>
          </w:p>
          <w:p w14:paraId="00C1CE24">
            <w:pPr>
              <w:pStyle w:val="2"/>
              <w:spacing w:line="240" w:lineRule="auto"/>
              <w:jc w:val="left"/>
              <w:rPr>
                <w:rFonts w:ascii="宋体" w:hAnsi="宋体" w:eastAsia="宋体" w:cs="宋体"/>
                <w:szCs w:val="21"/>
              </w:rPr>
            </w:pPr>
            <w:r>
              <w:rPr>
                <w:rFonts w:hint="eastAsia" w:ascii="宋体" w:hAnsi="宋体" w:eastAsia="宋体" w:cs="宋体"/>
                <w:szCs w:val="21"/>
              </w:rPr>
              <w:t>4）可以分享给其他用户（共享数据集）。</w:t>
            </w:r>
          </w:p>
          <w:p w14:paraId="0CD38D5C">
            <w:pPr>
              <w:pStyle w:val="2"/>
              <w:spacing w:line="240" w:lineRule="auto"/>
              <w:jc w:val="left"/>
              <w:rPr>
                <w:rFonts w:ascii="宋体" w:hAnsi="宋体" w:eastAsia="宋体" w:cs="宋体"/>
                <w:szCs w:val="21"/>
              </w:rPr>
            </w:pPr>
            <w:r>
              <w:rPr>
                <w:rFonts w:hint="eastAsia" w:ascii="宋体" w:hAnsi="宋体" w:eastAsia="宋体" w:cs="宋体"/>
                <w:szCs w:val="21"/>
              </w:rPr>
              <w:t>4、科研主题库数据补录</w:t>
            </w:r>
          </w:p>
          <w:p w14:paraId="15718AC9">
            <w:pPr>
              <w:pStyle w:val="2"/>
              <w:spacing w:line="240" w:lineRule="auto"/>
              <w:jc w:val="left"/>
              <w:rPr>
                <w:rFonts w:ascii="宋体" w:hAnsi="宋体" w:eastAsia="宋体" w:cs="宋体"/>
                <w:szCs w:val="21"/>
              </w:rPr>
            </w:pPr>
            <w:r>
              <w:rPr>
                <w:rFonts w:hint="eastAsia" w:ascii="宋体" w:hAnsi="宋体" w:eastAsia="宋体" w:cs="宋体"/>
                <w:szCs w:val="21"/>
              </w:rPr>
              <w:t>科研主题库支持采用补录的方式录入科研主题库所需信息，支持表单录入或电子表格录入，录入的格式可按需配置，实现指标数据补录。</w:t>
            </w:r>
          </w:p>
          <w:p w14:paraId="7E543434">
            <w:pPr>
              <w:pStyle w:val="2"/>
              <w:spacing w:line="240" w:lineRule="auto"/>
              <w:jc w:val="left"/>
              <w:rPr>
                <w:rFonts w:ascii="宋体" w:hAnsi="宋体" w:eastAsia="宋体" w:cs="宋体"/>
                <w:szCs w:val="21"/>
              </w:rPr>
            </w:pPr>
            <w:r>
              <w:rPr>
                <w:rFonts w:hint="eastAsia" w:ascii="宋体" w:hAnsi="宋体" w:eastAsia="宋体" w:cs="宋体"/>
                <w:szCs w:val="21"/>
              </w:rPr>
              <w:t>补录的数据进入到数据集指标中，和大数据平台形成统一的数据集。</w:t>
            </w:r>
          </w:p>
          <w:p w14:paraId="41F99A0D">
            <w:pPr>
              <w:pStyle w:val="2"/>
              <w:spacing w:line="240" w:lineRule="auto"/>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、科研主题库指标管理</w:t>
            </w:r>
          </w:p>
          <w:p w14:paraId="3BDB0BB9">
            <w:pPr>
              <w:pStyle w:val="2"/>
              <w:spacing w:line="240" w:lineRule="auto"/>
              <w:jc w:val="left"/>
              <w:rPr>
                <w:rFonts w:ascii="宋体" w:hAnsi="宋体" w:eastAsia="宋体" w:cs="宋体"/>
                <w:szCs w:val="21"/>
              </w:rPr>
            </w:pPr>
            <w:r>
              <w:rPr>
                <w:rFonts w:hint="eastAsia" w:ascii="宋体" w:hAnsi="宋体" w:eastAsia="宋体" w:cs="宋体"/>
                <w:szCs w:val="21"/>
              </w:rPr>
              <w:t>科研主题库指标支持关联到专病库指标，实现专病库指标的重用。关联管理支持绑定和解锁，在操作指标关联关系时，支持以下操作：</w:t>
            </w:r>
          </w:p>
          <w:p w14:paraId="23D564BE">
            <w:pPr>
              <w:pStyle w:val="2"/>
              <w:spacing w:line="240" w:lineRule="auto"/>
              <w:jc w:val="left"/>
              <w:rPr>
                <w:rFonts w:ascii="宋体" w:hAnsi="宋体" w:eastAsia="宋体" w:cs="宋体"/>
                <w:szCs w:val="21"/>
              </w:rPr>
            </w:pPr>
            <w:r>
              <w:rPr>
                <w:rFonts w:hint="eastAsia" w:ascii="宋体" w:hAnsi="宋体" w:eastAsia="宋体" w:cs="宋体"/>
                <w:szCs w:val="21"/>
              </w:rPr>
              <w:t>1）查看专病库指标定义；</w:t>
            </w:r>
          </w:p>
          <w:p w14:paraId="66CD13D0">
            <w:pPr>
              <w:pStyle w:val="2"/>
              <w:spacing w:line="240" w:lineRule="auto"/>
              <w:jc w:val="left"/>
              <w:rPr>
                <w:rFonts w:ascii="宋体" w:hAnsi="宋体" w:eastAsia="宋体" w:cs="宋体"/>
                <w:szCs w:val="21"/>
              </w:rPr>
            </w:pPr>
            <w:r>
              <w:rPr>
                <w:rFonts w:hint="eastAsia" w:ascii="宋体" w:hAnsi="宋体" w:eastAsia="宋体" w:cs="宋体"/>
                <w:szCs w:val="21"/>
              </w:rPr>
              <w:t>2）查看专病库指标血缘关系；</w:t>
            </w:r>
          </w:p>
          <w:p w14:paraId="40DFEE36">
            <w:pPr>
              <w:pStyle w:val="2"/>
              <w:spacing w:line="240" w:lineRule="auto"/>
              <w:jc w:val="left"/>
              <w:rPr>
                <w:rFonts w:ascii="宋体" w:hAnsi="宋体" w:eastAsia="宋体" w:cs="宋体"/>
                <w:szCs w:val="21"/>
              </w:rPr>
            </w:pPr>
            <w:r>
              <w:rPr>
                <w:rFonts w:hint="eastAsia" w:ascii="宋体" w:hAnsi="宋体" w:eastAsia="宋体" w:cs="宋体"/>
                <w:szCs w:val="21"/>
              </w:rPr>
              <w:t>3）查看专病库指标溯源实例。</w:t>
            </w:r>
          </w:p>
          <w:p w14:paraId="4A5B9117">
            <w:pPr>
              <w:pStyle w:val="2"/>
              <w:spacing w:line="240" w:lineRule="auto"/>
              <w:jc w:val="left"/>
              <w:rPr>
                <w:rFonts w:ascii="宋体" w:hAnsi="宋体" w:eastAsia="宋体" w:cs="宋体"/>
                <w:szCs w:val="21"/>
              </w:rPr>
            </w:pPr>
            <w:r>
              <w:rPr>
                <w:rFonts w:hint="eastAsia" w:ascii="宋体" w:hAnsi="宋体" w:eastAsia="宋体" w:cs="宋体"/>
                <w:szCs w:val="21"/>
              </w:rPr>
              <w:t>3.科研主题库报告</w:t>
            </w:r>
          </w:p>
          <w:p w14:paraId="07D4621C">
            <w:pPr>
              <w:pStyle w:val="2"/>
              <w:spacing w:line="240" w:lineRule="auto"/>
              <w:jc w:val="left"/>
              <w:rPr>
                <w:rFonts w:ascii="宋体" w:hAnsi="宋体" w:eastAsia="宋体" w:cs="宋体"/>
                <w:szCs w:val="21"/>
              </w:rPr>
            </w:pPr>
            <w:r>
              <w:rPr>
                <w:rFonts w:hint="eastAsia" w:ascii="宋体" w:hAnsi="宋体" w:eastAsia="宋体" w:cs="宋体"/>
                <w:szCs w:val="21"/>
              </w:rPr>
              <w:t>支持用户从科研主题库中选择特定范围的患者入组，建立面向特定人群的研究，同一个科研主题库，支持创建多个患者分组，以标签的方式对用户组进行管理。</w:t>
            </w:r>
          </w:p>
          <w:p w14:paraId="2C4A1EA4">
            <w:pPr>
              <w:pStyle w:val="2"/>
              <w:spacing w:line="240" w:lineRule="auto"/>
              <w:jc w:val="left"/>
              <w:rPr>
                <w:rFonts w:ascii="宋体" w:hAnsi="宋体" w:eastAsia="宋体" w:cs="宋体"/>
                <w:szCs w:val="21"/>
              </w:rPr>
            </w:pPr>
            <w:r>
              <w:rPr>
                <w:rFonts w:hint="eastAsia" w:ascii="宋体" w:hAnsi="宋体" w:eastAsia="宋体" w:cs="宋体"/>
                <w:szCs w:val="21"/>
              </w:rPr>
              <w:t>自建队列支持按格式导入患者列表，支持患者列表的维护，包括新增标签，修改标签，删除标签。支持通过筛选功能选定患者列表。</w:t>
            </w:r>
          </w:p>
          <w:p w14:paraId="7ED6CCF8">
            <w:pPr>
              <w:pStyle w:val="2"/>
              <w:spacing w:line="240" w:lineRule="auto"/>
              <w:jc w:val="left"/>
              <w:rPr>
                <w:rFonts w:ascii="宋体" w:hAnsi="宋体" w:eastAsia="宋体" w:cs="宋体"/>
                <w:szCs w:val="21"/>
              </w:rPr>
            </w:pPr>
            <w:r>
              <w:rPr>
                <w:rFonts w:hint="eastAsia" w:ascii="宋体" w:hAnsi="宋体" w:eastAsia="宋体" w:cs="宋体"/>
                <w:szCs w:val="21"/>
              </w:rPr>
              <w:t>自建队列支持按以下流程产生数据集：1)患者筛选；2)患者组管理；3)患者数据提取；4)患者数据报告输出。</w:t>
            </w:r>
          </w:p>
          <w:p w14:paraId="09457413">
            <w:pPr>
              <w:pStyle w:val="2"/>
              <w:spacing w:line="240" w:lineRule="auto"/>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.科研主题库工具</w:t>
            </w:r>
          </w:p>
          <w:p w14:paraId="0147E2EC">
            <w:pPr>
              <w:pStyle w:val="2"/>
              <w:spacing w:line="240" w:lineRule="auto"/>
              <w:jc w:val="left"/>
              <w:rPr>
                <w:rFonts w:ascii="宋体" w:hAnsi="宋体" w:eastAsia="宋体" w:cs="宋体"/>
                <w:szCs w:val="21"/>
              </w:rPr>
            </w:pPr>
            <w:r>
              <w:rPr>
                <w:rFonts w:hint="eastAsia" w:ascii="宋体" w:hAnsi="宋体" w:eastAsia="宋体" w:cs="宋体"/>
                <w:szCs w:val="21"/>
              </w:rPr>
              <w:t>科研主题库支持按需输出数据范围，可以按队列提交数据集生成任务。数据集生成任务支持后台运行，避免数据集生成耗时过久导致的页面等待。</w:t>
            </w:r>
          </w:p>
        </w:tc>
      </w:tr>
      <w:bookmarkEnd w:id="1"/>
      <w:bookmarkEnd w:id="2"/>
      <w:bookmarkEnd w:id="3"/>
      <w:bookmarkEnd w:id="4"/>
      <w:bookmarkEnd w:id="5"/>
      <w:tr w14:paraId="314C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restart"/>
            <w:tcBorders>
              <w:tl2br w:val="nil"/>
              <w:tr2bl w:val="nil"/>
            </w:tcBorders>
            <w:vAlign w:val="center"/>
          </w:tcPr>
          <w:p w14:paraId="2A210AD3">
            <w:pPr>
              <w:spacing w:line="240" w:lineRule="auto"/>
              <w:jc w:val="left"/>
              <w:textAlignment w:val="center"/>
              <w:rPr>
                <w:rFonts w:ascii="宋体" w:hAnsi="宋体" w:eastAsia="宋体" w:cs="宋体"/>
                <w:szCs w:val="21"/>
              </w:rPr>
            </w:pPr>
            <w:r>
              <w:rPr>
                <w:rFonts w:hint="eastAsia" w:ascii="宋体" w:hAnsi="宋体" w:eastAsia="宋体" w:cs="宋体"/>
                <w:szCs w:val="21"/>
                <w:lang w:bidi="ar"/>
              </w:rPr>
              <w:t>泌尿系结核合并感染疾病管理</w:t>
            </w:r>
          </w:p>
        </w:tc>
        <w:tc>
          <w:tcPr>
            <w:tcW w:w="1559" w:type="dxa"/>
            <w:vMerge w:val="restart"/>
            <w:tcBorders>
              <w:tl2br w:val="nil"/>
              <w:tr2bl w:val="nil"/>
            </w:tcBorders>
          </w:tcPr>
          <w:p w14:paraId="2A390237">
            <w:pPr>
              <w:spacing w:line="240" w:lineRule="auto"/>
              <w:textAlignment w:val="center"/>
              <w:rPr>
                <w:rFonts w:ascii="宋体" w:hAnsi="宋体" w:eastAsia="宋体" w:cs="宋体"/>
                <w:szCs w:val="21"/>
              </w:rPr>
            </w:pPr>
          </w:p>
          <w:p w14:paraId="4EFC0913">
            <w:pPr>
              <w:spacing w:line="240" w:lineRule="auto"/>
              <w:textAlignment w:val="center"/>
              <w:rPr>
                <w:rFonts w:ascii="宋体" w:hAnsi="宋体" w:eastAsia="宋体" w:cs="宋体"/>
                <w:szCs w:val="21"/>
              </w:rPr>
            </w:pPr>
          </w:p>
          <w:p w14:paraId="09CFBD28">
            <w:pPr>
              <w:spacing w:line="240" w:lineRule="auto"/>
              <w:textAlignment w:val="center"/>
              <w:rPr>
                <w:rFonts w:ascii="宋体" w:hAnsi="宋体" w:eastAsia="宋体" w:cs="宋体"/>
                <w:szCs w:val="21"/>
              </w:rPr>
            </w:pPr>
          </w:p>
          <w:p w14:paraId="6CF677F8">
            <w:pPr>
              <w:spacing w:line="240" w:lineRule="auto"/>
              <w:textAlignment w:val="center"/>
              <w:rPr>
                <w:rFonts w:ascii="宋体" w:hAnsi="宋体" w:eastAsia="宋体" w:cs="宋体"/>
                <w:szCs w:val="21"/>
              </w:rPr>
            </w:pPr>
          </w:p>
          <w:p w14:paraId="0764E92F">
            <w:pPr>
              <w:spacing w:line="240" w:lineRule="auto"/>
              <w:textAlignment w:val="center"/>
              <w:rPr>
                <w:rFonts w:ascii="宋体" w:hAnsi="宋体" w:eastAsia="宋体" w:cs="宋体"/>
                <w:szCs w:val="21"/>
              </w:rPr>
            </w:pPr>
          </w:p>
          <w:p w14:paraId="64857890">
            <w:pPr>
              <w:spacing w:line="240" w:lineRule="auto"/>
              <w:textAlignment w:val="center"/>
              <w:rPr>
                <w:rFonts w:ascii="宋体" w:hAnsi="宋体" w:eastAsia="宋体" w:cs="宋体"/>
                <w:szCs w:val="21"/>
              </w:rPr>
            </w:pPr>
          </w:p>
          <w:p w14:paraId="0DE75E47">
            <w:pPr>
              <w:spacing w:line="240" w:lineRule="auto"/>
              <w:textAlignment w:val="center"/>
              <w:rPr>
                <w:rFonts w:ascii="宋体" w:hAnsi="宋体" w:eastAsia="宋体" w:cs="宋体"/>
                <w:szCs w:val="21"/>
              </w:rPr>
            </w:pPr>
          </w:p>
          <w:p w14:paraId="650997B4">
            <w:pPr>
              <w:spacing w:line="240" w:lineRule="auto"/>
              <w:textAlignment w:val="center"/>
              <w:rPr>
                <w:rFonts w:ascii="宋体" w:hAnsi="宋体" w:eastAsia="宋体" w:cs="宋体"/>
                <w:szCs w:val="21"/>
              </w:rPr>
            </w:pPr>
          </w:p>
          <w:p w14:paraId="2D594020">
            <w:pPr>
              <w:spacing w:line="240" w:lineRule="auto"/>
              <w:textAlignment w:val="center"/>
              <w:rPr>
                <w:rFonts w:ascii="宋体" w:hAnsi="宋体" w:eastAsia="宋体" w:cs="宋体"/>
                <w:szCs w:val="21"/>
              </w:rPr>
            </w:pPr>
          </w:p>
          <w:p w14:paraId="0C1E145B">
            <w:pPr>
              <w:spacing w:line="240" w:lineRule="auto"/>
              <w:textAlignment w:val="center"/>
              <w:rPr>
                <w:rFonts w:ascii="宋体" w:hAnsi="宋体" w:eastAsia="宋体" w:cs="宋体"/>
                <w:szCs w:val="21"/>
              </w:rPr>
            </w:pPr>
            <w:r>
              <w:rPr>
                <w:rFonts w:ascii="宋体" w:hAnsi="宋体" w:eastAsia="宋体" w:cs="宋体"/>
                <w:szCs w:val="21"/>
              </w:rPr>
              <w:t>患者管理</w:t>
            </w:r>
          </w:p>
        </w:tc>
        <w:tc>
          <w:tcPr>
            <w:tcW w:w="1560" w:type="dxa"/>
            <w:tcBorders>
              <w:tl2br w:val="nil"/>
              <w:tr2bl w:val="nil"/>
            </w:tcBorders>
            <w:vAlign w:val="center"/>
          </w:tcPr>
          <w:p w14:paraId="70A53670">
            <w:pPr>
              <w:spacing w:line="240" w:lineRule="auto"/>
              <w:textAlignment w:val="center"/>
              <w:rPr>
                <w:rFonts w:ascii="宋体" w:hAnsi="宋体" w:eastAsia="宋体" w:cs="宋体"/>
                <w:szCs w:val="21"/>
                <w:lang w:bidi="ar"/>
              </w:rPr>
            </w:pPr>
            <w:r>
              <w:rPr>
                <w:rFonts w:hint="eastAsia" w:ascii="宋体" w:hAnsi="宋体" w:eastAsia="宋体" w:cs="宋体"/>
                <w:szCs w:val="21"/>
              </w:rPr>
              <w:t>患者列表</w:t>
            </w:r>
          </w:p>
        </w:tc>
        <w:tc>
          <w:tcPr>
            <w:tcW w:w="4819" w:type="dxa"/>
            <w:tcBorders>
              <w:tl2br w:val="nil"/>
              <w:tr2bl w:val="nil"/>
            </w:tcBorders>
            <w:vAlign w:val="center"/>
          </w:tcPr>
          <w:p w14:paraId="098AE7EF">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患者列表是疾病管理支撑的核心，支持针对疾病的数据和业务闭环的患者管理：</w:t>
            </w:r>
          </w:p>
          <w:p w14:paraId="5485FE2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1）展示在不同疾病状态下的患者列表，可以通过患者身份信息、康复状态等进行过滤。</w:t>
            </w:r>
          </w:p>
          <w:p w14:paraId="342A4678">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2）支持查看患者的全过程档案。</w:t>
            </w:r>
          </w:p>
          <w:p w14:paraId="607E1CCC">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3）支持患者画像。</w:t>
            </w:r>
          </w:p>
          <w:p w14:paraId="59BDF57A">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4）实现疾病患者的健康状况的全过程跟踪。</w:t>
            </w:r>
          </w:p>
          <w:p w14:paraId="30091662">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5）支持通过风险评估量表对患者状态进行评估。</w:t>
            </w:r>
          </w:p>
          <w:p w14:paraId="61A42214">
            <w:pPr>
              <w:spacing w:line="240" w:lineRule="auto"/>
              <w:jc w:val="left"/>
              <w:textAlignment w:val="center"/>
            </w:pPr>
            <w:r>
              <w:rPr>
                <w:rFonts w:ascii="宋体" w:hAnsi="宋体" w:eastAsia="宋体" w:cs="宋体"/>
                <w:szCs w:val="21"/>
                <w:lang w:bidi="ar"/>
              </w:rPr>
              <w:t>6）</w:t>
            </w:r>
            <w:r>
              <w:rPr>
                <w:rFonts w:hint="eastAsia" w:ascii="宋体" w:hAnsi="宋体" w:eastAsia="宋体" w:cs="宋体"/>
                <w:szCs w:val="21"/>
                <w:lang w:bidi="ar"/>
              </w:rPr>
              <w:t>基于标签的患者管理：在患者列表上，可以实现通过选择标签过滤患者。</w:t>
            </w:r>
          </w:p>
        </w:tc>
      </w:tr>
      <w:tr w14:paraId="5899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3BBB00B5">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3BF8801F">
            <w:pPr>
              <w:spacing w:line="240" w:lineRule="auto"/>
              <w:textAlignment w:val="center"/>
              <w:rPr>
                <w:rFonts w:ascii="宋体" w:hAnsi="宋体" w:eastAsia="宋体" w:cs="宋体"/>
                <w:szCs w:val="21"/>
              </w:rPr>
            </w:pPr>
          </w:p>
        </w:tc>
        <w:tc>
          <w:tcPr>
            <w:tcW w:w="1560" w:type="dxa"/>
            <w:tcBorders>
              <w:tl2br w:val="nil"/>
              <w:tr2bl w:val="nil"/>
            </w:tcBorders>
            <w:vAlign w:val="center"/>
          </w:tcPr>
          <w:p w14:paraId="6DAB428B">
            <w:pPr>
              <w:spacing w:line="240" w:lineRule="auto"/>
              <w:textAlignment w:val="center"/>
              <w:rPr>
                <w:rFonts w:ascii="宋体" w:hAnsi="宋体" w:eastAsia="宋体" w:cs="宋体"/>
                <w:szCs w:val="21"/>
              </w:rPr>
            </w:pPr>
            <w:r>
              <w:rPr>
                <w:rFonts w:hint="eastAsia" w:ascii="宋体" w:hAnsi="宋体" w:eastAsia="宋体" w:cs="宋体"/>
                <w:szCs w:val="21"/>
              </w:rPr>
              <w:t>患者健康档案全景视图</w:t>
            </w:r>
          </w:p>
          <w:p w14:paraId="56A5BF61">
            <w:pPr>
              <w:spacing w:line="240" w:lineRule="auto"/>
              <w:textAlignment w:val="center"/>
              <w:rPr>
                <w:rFonts w:ascii="宋体" w:hAnsi="宋体" w:eastAsia="宋体" w:cs="宋体"/>
                <w:szCs w:val="21"/>
              </w:rPr>
            </w:pPr>
          </w:p>
        </w:tc>
        <w:tc>
          <w:tcPr>
            <w:tcW w:w="4819" w:type="dxa"/>
            <w:tcBorders>
              <w:tl2br w:val="nil"/>
              <w:tr2bl w:val="nil"/>
            </w:tcBorders>
            <w:vAlign w:val="center"/>
          </w:tcPr>
          <w:p w14:paraId="736E632F">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患者档案全景视图是将访视、门诊、住院、检验、检查集成于一体，以视图的方式展示的系统。</w:t>
            </w:r>
          </w:p>
          <w:p w14:paraId="0013E08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1）支持查看患者全病程的门诊、住院、检验、检查、访视的关键信息，方便用户全面了解患者，实时跟踪患者病情，提高工作效率。</w:t>
            </w:r>
          </w:p>
          <w:p w14:paraId="03F65289">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2）可以快速定位患者近期异常预警指标，查看患者诊疗以及科研访视过程中所有关键性检查、检验、量表的统计分析图标。</w:t>
            </w:r>
          </w:p>
          <w:p w14:paraId="2C54D54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3）支持查看患者门诊住院的主要诊断和相关费用数据。</w:t>
            </w:r>
          </w:p>
          <w:p w14:paraId="0733CFF2">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4）针对患者全景视图中的关键数据，支持用户自定义导出和打印。</w:t>
            </w:r>
          </w:p>
          <w:p w14:paraId="33796A0D">
            <w:pPr>
              <w:spacing w:line="240" w:lineRule="auto"/>
              <w:jc w:val="left"/>
              <w:textAlignment w:val="center"/>
            </w:pPr>
            <w:r>
              <w:rPr>
                <w:rFonts w:hint="eastAsia" w:ascii="宋体" w:hAnsi="宋体" w:eastAsia="宋体" w:cs="宋体"/>
                <w:szCs w:val="21"/>
                <w:lang w:bidi="ar"/>
              </w:rPr>
              <w:t>5）支持全景首页、访视、门诊信息、住院、诊断、用药、检验、检查、治疗时间轴等分页，并可通过配置选择需要展示的分页。</w:t>
            </w:r>
          </w:p>
        </w:tc>
      </w:tr>
      <w:tr w14:paraId="00C9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454D70B7">
            <w:pPr>
              <w:spacing w:line="240" w:lineRule="auto"/>
              <w:jc w:val="left"/>
              <w:textAlignment w:val="center"/>
              <w:rPr>
                <w:rFonts w:ascii="宋体" w:hAnsi="宋体" w:eastAsia="宋体" w:cs="宋体"/>
                <w:szCs w:val="21"/>
                <w:lang w:bidi="ar"/>
              </w:rPr>
            </w:pPr>
          </w:p>
        </w:tc>
        <w:tc>
          <w:tcPr>
            <w:tcW w:w="1559" w:type="dxa"/>
            <w:vMerge w:val="restart"/>
            <w:tcBorders>
              <w:tl2br w:val="nil"/>
              <w:tr2bl w:val="nil"/>
            </w:tcBorders>
          </w:tcPr>
          <w:p w14:paraId="4DC4F6DF">
            <w:pPr>
              <w:spacing w:line="240" w:lineRule="auto"/>
              <w:textAlignment w:val="center"/>
              <w:rPr>
                <w:rFonts w:ascii="宋体" w:hAnsi="宋体" w:eastAsia="宋体" w:cs="宋体"/>
                <w:szCs w:val="21"/>
                <w:lang w:bidi="ar"/>
              </w:rPr>
            </w:pPr>
          </w:p>
          <w:p w14:paraId="02B2ADBA">
            <w:pPr>
              <w:spacing w:line="240" w:lineRule="auto"/>
              <w:textAlignment w:val="center"/>
              <w:rPr>
                <w:rFonts w:ascii="宋体" w:hAnsi="宋体" w:eastAsia="宋体" w:cs="宋体"/>
                <w:szCs w:val="21"/>
                <w:lang w:bidi="ar"/>
              </w:rPr>
            </w:pPr>
          </w:p>
          <w:p w14:paraId="6137BAAA">
            <w:pPr>
              <w:spacing w:line="240" w:lineRule="auto"/>
              <w:textAlignment w:val="center"/>
              <w:rPr>
                <w:rFonts w:ascii="宋体" w:hAnsi="宋体" w:eastAsia="宋体" w:cs="宋体"/>
                <w:szCs w:val="21"/>
                <w:lang w:bidi="ar"/>
              </w:rPr>
            </w:pPr>
          </w:p>
          <w:p w14:paraId="4E9EACC7">
            <w:pPr>
              <w:spacing w:line="240" w:lineRule="auto"/>
              <w:textAlignment w:val="center"/>
              <w:rPr>
                <w:rFonts w:ascii="宋体" w:hAnsi="宋体" w:eastAsia="宋体" w:cs="宋体"/>
                <w:szCs w:val="21"/>
                <w:lang w:bidi="ar"/>
              </w:rPr>
            </w:pPr>
          </w:p>
          <w:p w14:paraId="69EE0589">
            <w:pPr>
              <w:spacing w:line="240" w:lineRule="auto"/>
              <w:textAlignment w:val="center"/>
              <w:rPr>
                <w:rFonts w:ascii="宋体" w:hAnsi="宋体" w:eastAsia="宋体" w:cs="宋体"/>
                <w:szCs w:val="21"/>
                <w:lang w:bidi="ar"/>
              </w:rPr>
            </w:pPr>
          </w:p>
          <w:p w14:paraId="6F5B4E88">
            <w:pPr>
              <w:spacing w:line="240" w:lineRule="auto"/>
              <w:textAlignment w:val="center"/>
              <w:rPr>
                <w:rFonts w:ascii="宋体" w:hAnsi="宋体" w:eastAsia="宋体" w:cs="宋体"/>
                <w:szCs w:val="21"/>
              </w:rPr>
            </w:pPr>
            <w:r>
              <w:rPr>
                <w:rFonts w:hint="eastAsia" w:ascii="宋体" w:hAnsi="宋体" w:eastAsia="宋体" w:cs="宋体"/>
                <w:szCs w:val="21"/>
                <w:lang w:bidi="ar"/>
              </w:rPr>
              <w:t>泌尿系结石合并感染疾病筛查</w:t>
            </w:r>
          </w:p>
        </w:tc>
        <w:tc>
          <w:tcPr>
            <w:tcW w:w="1560" w:type="dxa"/>
            <w:tcBorders>
              <w:tl2br w:val="nil"/>
              <w:tr2bl w:val="nil"/>
            </w:tcBorders>
            <w:vAlign w:val="center"/>
          </w:tcPr>
          <w:p w14:paraId="213EFACC">
            <w:pPr>
              <w:spacing w:line="240" w:lineRule="auto"/>
              <w:textAlignment w:val="center"/>
              <w:rPr>
                <w:rFonts w:ascii="宋体" w:hAnsi="宋体" w:eastAsia="宋体" w:cs="宋体"/>
                <w:szCs w:val="21"/>
              </w:rPr>
            </w:pPr>
            <w:r>
              <w:rPr>
                <w:rFonts w:hint="eastAsia" w:ascii="宋体" w:hAnsi="宋体" w:eastAsia="宋体" w:cs="宋体"/>
                <w:szCs w:val="21"/>
                <w:lang w:bidi="ar"/>
              </w:rPr>
              <w:t>筛查目标人群管理</w:t>
            </w:r>
          </w:p>
        </w:tc>
        <w:tc>
          <w:tcPr>
            <w:tcW w:w="4819" w:type="dxa"/>
            <w:tcBorders>
              <w:tl2br w:val="nil"/>
              <w:tr2bl w:val="nil"/>
            </w:tcBorders>
            <w:vAlign w:val="center"/>
          </w:tcPr>
          <w:p w14:paraId="60D1CB1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早筛目标人群管理旨在识别并监测那些具有较高泌尿系结核合并感染风险的个体，以便尽早发现并治疗，从而提高生存率和生活质量。</w:t>
            </w:r>
          </w:p>
          <w:p w14:paraId="44B7C90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1）高危因素识别：基于评估量表，识别泌尿系结核合并感染疾病特定的高危因素，如年龄、性别、遗传史、生活方式、慢性疾病史等。</w:t>
            </w:r>
          </w:p>
          <w:p w14:paraId="6F336489">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2</w:t>
            </w:r>
            <w:r>
              <w:rPr>
                <w:rFonts w:hint="eastAsia" w:ascii="宋体" w:hAnsi="宋体" w:eastAsia="宋体" w:cs="宋体"/>
                <w:szCs w:val="21"/>
                <w:lang w:bidi="ar"/>
              </w:rPr>
              <w:t>）教育高危人群理解泌尿系结核合并感染早筛的益处，鼓励高危人群积极参与筛查</w:t>
            </w:r>
          </w:p>
          <w:p w14:paraId="28038D53">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3</w:t>
            </w:r>
            <w:r>
              <w:rPr>
                <w:rFonts w:hint="eastAsia" w:ascii="宋体" w:hAnsi="宋体" w:eastAsia="宋体" w:cs="宋体"/>
                <w:szCs w:val="21"/>
                <w:lang w:bidi="ar"/>
              </w:rPr>
              <w:t>）对较低风险人群，利用问卷调查、风险评分系统对个体进行风险评估，实现人群的精准分层。</w:t>
            </w:r>
          </w:p>
          <w:p w14:paraId="67A3FE31">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4</w:t>
            </w:r>
            <w:r>
              <w:rPr>
                <w:rFonts w:hint="eastAsia" w:ascii="宋体" w:hAnsi="宋体" w:eastAsia="宋体" w:cs="宋体"/>
                <w:szCs w:val="21"/>
                <w:lang w:bidi="ar"/>
              </w:rPr>
              <w:t>）对较高风险人群，建议利用精准医学检测技术精准识别高风险个体。</w:t>
            </w:r>
          </w:p>
          <w:p w14:paraId="2D2AAA24">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5</w:t>
            </w:r>
            <w:r>
              <w:rPr>
                <w:rFonts w:hint="eastAsia" w:ascii="宋体" w:hAnsi="宋体" w:eastAsia="宋体" w:cs="宋体"/>
                <w:szCs w:val="21"/>
                <w:lang w:bidi="ar"/>
              </w:rPr>
              <w:t>）基于患者管理功能，引导患者入组，建立筛选目标人员管理。</w:t>
            </w:r>
          </w:p>
        </w:tc>
      </w:tr>
      <w:tr w14:paraId="72B7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6023688E">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34405D7B">
            <w:pPr>
              <w:spacing w:line="240" w:lineRule="auto"/>
              <w:textAlignment w:val="center"/>
              <w:rPr>
                <w:rFonts w:ascii="宋体" w:hAnsi="宋体" w:eastAsia="宋体" w:cs="宋体"/>
                <w:szCs w:val="21"/>
              </w:rPr>
            </w:pPr>
          </w:p>
        </w:tc>
        <w:tc>
          <w:tcPr>
            <w:tcW w:w="1560" w:type="dxa"/>
            <w:tcBorders>
              <w:tl2br w:val="nil"/>
              <w:tr2bl w:val="nil"/>
            </w:tcBorders>
            <w:vAlign w:val="center"/>
          </w:tcPr>
          <w:p w14:paraId="149F731E">
            <w:pPr>
              <w:spacing w:line="240" w:lineRule="auto"/>
              <w:textAlignment w:val="center"/>
              <w:rPr>
                <w:rFonts w:ascii="宋体" w:hAnsi="宋体" w:eastAsia="宋体" w:cs="宋体"/>
                <w:szCs w:val="21"/>
              </w:rPr>
            </w:pPr>
            <w:r>
              <w:rPr>
                <w:rFonts w:hint="eastAsia" w:ascii="宋体" w:hAnsi="宋体" w:eastAsia="宋体" w:cs="宋体"/>
                <w:szCs w:val="21"/>
                <w:lang w:bidi="ar"/>
              </w:rPr>
              <w:t>筛查项目管理</w:t>
            </w:r>
          </w:p>
        </w:tc>
        <w:tc>
          <w:tcPr>
            <w:tcW w:w="4819" w:type="dxa"/>
            <w:tcBorders>
              <w:tl2br w:val="nil"/>
              <w:tr2bl w:val="nil"/>
            </w:tcBorders>
            <w:vAlign w:val="center"/>
          </w:tcPr>
          <w:p w14:paraId="308A0F1D">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筛选项目可以通过随访项目来管理，主要包括规划、执行、监控和评估等环节。</w:t>
            </w:r>
          </w:p>
          <w:p w14:paraId="57A33947">
            <w:pPr>
              <w:spacing w:line="240" w:lineRule="auto"/>
              <w:jc w:val="left"/>
              <w:textAlignment w:val="center"/>
              <w:rPr>
                <w:rFonts w:ascii="宋体" w:hAnsi="宋体" w:eastAsia="宋体" w:cs="宋体"/>
                <w:szCs w:val="21"/>
                <w:lang w:bidi="ar"/>
              </w:rPr>
            </w:pPr>
            <w:r>
              <w:rPr>
                <w:rFonts w:hint="eastAsia"/>
              </w:rPr>
              <w:t>1</w:t>
            </w:r>
            <w:r>
              <w:rPr>
                <w:rFonts w:hint="eastAsia" w:ascii="宋体" w:hAnsi="宋体"/>
              </w:rPr>
              <w:t>）</w:t>
            </w:r>
            <w:r>
              <w:rPr>
                <w:rFonts w:hint="eastAsia" w:ascii="宋体" w:hAnsi="宋体" w:eastAsia="宋体" w:cs="宋体"/>
                <w:szCs w:val="21"/>
                <w:lang w:bidi="ar"/>
              </w:rPr>
              <w:t>项目设置；</w:t>
            </w:r>
          </w:p>
          <w:p w14:paraId="4BC5C58A">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2）项目启动；</w:t>
            </w:r>
          </w:p>
          <w:p w14:paraId="3D9A9E4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2）项目跟踪管理。</w:t>
            </w:r>
            <w:r>
              <w:rPr>
                <w:rFonts w:ascii="宋体" w:hAnsi="宋体" w:eastAsia="宋体" w:cs="宋体"/>
                <w:szCs w:val="21"/>
                <w:lang w:bidi="ar"/>
              </w:rPr>
              <w:t xml:space="preserve"> </w:t>
            </w:r>
          </w:p>
          <w:p w14:paraId="4AB7ABE8">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3</w:t>
            </w:r>
            <w:r>
              <w:rPr>
                <w:rFonts w:hint="eastAsia" w:ascii="宋体" w:hAnsi="宋体" w:eastAsia="宋体" w:cs="宋体"/>
                <w:szCs w:val="21"/>
                <w:lang w:bidi="ar"/>
              </w:rPr>
              <w:t>）项目评估和分析。</w:t>
            </w:r>
          </w:p>
          <w:p w14:paraId="40F385BB">
            <w:pPr>
              <w:spacing w:line="240" w:lineRule="auto"/>
              <w:jc w:val="left"/>
              <w:textAlignment w:val="center"/>
              <w:rPr>
                <w:rFonts w:ascii="宋体" w:hAnsi="宋体" w:eastAsia="宋体" w:cs="宋体"/>
                <w:szCs w:val="21"/>
                <w:lang w:bidi="ar"/>
              </w:rPr>
            </w:pPr>
            <w:r>
              <w:rPr>
                <w:rFonts w:ascii="宋体" w:hAnsi="宋体" w:eastAsia="宋体" w:cs="宋体"/>
                <w:szCs w:val="21"/>
                <w:lang w:bidi="ar"/>
              </w:rPr>
              <w:t>4</w:t>
            </w:r>
            <w:r>
              <w:rPr>
                <w:rFonts w:hint="eastAsia" w:ascii="宋体" w:hAnsi="宋体" w:eastAsia="宋体" w:cs="宋体"/>
                <w:szCs w:val="21"/>
                <w:lang w:bidi="ar"/>
              </w:rPr>
              <w:t>）项目总结和报告。</w:t>
            </w:r>
          </w:p>
        </w:tc>
      </w:tr>
      <w:tr w14:paraId="0A012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7712D8BA">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0ECE4787">
            <w:pPr>
              <w:spacing w:line="240" w:lineRule="auto"/>
              <w:textAlignment w:val="center"/>
              <w:rPr>
                <w:rFonts w:ascii="宋体" w:hAnsi="宋体" w:eastAsia="宋体" w:cs="宋体"/>
                <w:szCs w:val="21"/>
              </w:rPr>
            </w:pPr>
          </w:p>
        </w:tc>
        <w:tc>
          <w:tcPr>
            <w:tcW w:w="1560" w:type="dxa"/>
            <w:tcBorders>
              <w:tl2br w:val="nil"/>
              <w:tr2bl w:val="nil"/>
            </w:tcBorders>
            <w:vAlign w:val="center"/>
          </w:tcPr>
          <w:p w14:paraId="6C93F0AA">
            <w:pPr>
              <w:spacing w:line="240" w:lineRule="auto"/>
              <w:textAlignment w:val="center"/>
              <w:rPr>
                <w:rFonts w:ascii="宋体" w:hAnsi="宋体" w:eastAsia="宋体" w:cs="宋体"/>
                <w:szCs w:val="21"/>
              </w:rPr>
            </w:pPr>
            <w:r>
              <w:rPr>
                <w:rFonts w:hint="eastAsia" w:ascii="宋体" w:hAnsi="宋体" w:eastAsia="宋体" w:cs="宋体"/>
                <w:szCs w:val="21"/>
              </w:rPr>
              <w:t>筛查人员管理</w:t>
            </w:r>
          </w:p>
        </w:tc>
        <w:tc>
          <w:tcPr>
            <w:tcW w:w="4819" w:type="dxa"/>
            <w:tcBorders>
              <w:tl2br w:val="nil"/>
              <w:tr2bl w:val="nil"/>
            </w:tcBorders>
            <w:vAlign w:val="center"/>
          </w:tcPr>
          <w:p w14:paraId="06D6175D">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筛查人员管理包括：</w:t>
            </w:r>
          </w:p>
          <w:p w14:paraId="7DB3472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1）通过在相应机构设置随访助理或者其他岗位，来设定和管理筛查人员。</w:t>
            </w:r>
          </w:p>
          <w:p w14:paraId="31A29D2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2）筛查人员有各自的权限。每个筛查人员负责部分目标人群。同时只有管理该目标人群的权限。</w:t>
            </w:r>
          </w:p>
          <w:p w14:paraId="0C035837">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3）筛查人员对应有主管医生负责把控筛查质量，以及后续的治疗和管理。</w:t>
            </w:r>
          </w:p>
        </w:tc>
      </w:tr>
      <w:tr w14:paraId="1E4B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61F4B14A">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67CC302F">
            <w:pPr>
              <w:spacing w:line="240" w:lineRule="auto"/>
              <w:textAlignment w:val="center"/>
              <w:rPr>
                <w:rFonts w:ascii="宋体" w:hAnsi="宋体" w:eastAsia="宋体" w:cs="宋体"/>
                <w:szCs w:val="21"/>
              </w:rPr>
            </w:pPr>
          </w:p>
        </w:tc>
        <w:tc>
          <w:tcPr>
            <w:tcW w:w="1560" w:type="dxa"/>
            <w:tcBorders>
              <w:tl2br w:val="nil"/>
              <w:tr2bl w:val="nil"/>
            </w:tcBorders>
            <w:vAlign w:val="center"/>
          </w:tcPr>
          <w:p w14:paraId="1B779B42">
            <w:pPr>
              <w:spacing w:line="240" w:lineRule="auto"/>
              <w:textAlignment w:val="center"/>
              <w:rPr>
                <w:rFonts w:ascii="宋体" w:hAnsi="宋体" w:eastAsia="宋体" w:cs="宋体"/>
                <w:szCs w:val="21"/>
              </w:rPr>
            </w:pPr>
            <w:r>
              <w:rPr>
                <w:rFonts w:hint="eastAsia" w:ascii="宋体" w:hAnsi="宋体" w:eastAsia="宋体" w:cs="宋体"/>
                <w:szCs w:val="21"/>
              </w:rPr>
              <w:t>筛查结果</w:t>
            </w:r>
          </w:p>
        </w:tc>
        <w:tc>
          <w:tcPr>
            <w:tcW w:w="4819" w:type="dxa"/>
            <w:tcBorders>
              <w:tl2br w:val="nil"/>
              <w:tr2bl w:val="nil"/>
            </w:tcBorders>
            <w:vAlign w:val="center"/>
          </w:tcPr>
          <w:p w14:paraId="59A30DC9">
            <w:pPr>
              <w:spacing w:line="240" w:lineRule="auto"/>
              <w:jc w:val="left"/>
              <w:textAlignment w:val="center"/>
            </w:pPr>
            <w:r>
              <w:rPr>
                <w:rFonts w:hint="eastAsia" w:ascii="宋体" w:hAnsi="宋体" w:eastAsia="宋体" w:cs="宋体"/>
                <w:szCs w:val="21"/>
                <w:lang w:bidi="ar"/>
              </w:rPr>
              <w:t>筛选结果管理主要是基于筛查结果识别高危人群，确定患者分类分级。根据不同的癌种的风险程度分级，对应不同的标签，对患者分组管理。同时驱动下一步的治疗和管理。</w:t>
            </w:r>
          </w:p>
        </w:tc>
      </w:tr>
      <w:tr w14:paraId="1F9E3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0C620C6E">
            <w:pPr>
              <w:spacing w:line="240" w:lineRule="auto"/>
              <w:jc w:val="left"/>
              <w:textAlignment w:val="center"/>
              <w:rPr>
                <w:rFonts w:ascii="宋体" w:hAnsi="宋体" w:eastAsia="宋体" w:cs="宋体"/>
                <w:szCs w:val="21"/>
                <w:lang w:bidi="ar"/>
              </w:rPr>
            </w:pPr>
          </w:p>
        </w:tc>
        <w:tc>
          <w:tcPr>
            <w:tcW w:w="1559" w:type="dxa"/>
            <w:vMerge w:val="restart"/>
            <w:tcBorders>
              <w:tl2br w:val="nil"/>
              <w:tr2bl w:val="nil"/>
            </w:tcBorders>
          </w:tcPr>
          <w:p w14:paraId="28BABAFF">
            <w:pPr>
              <w:spacing w:line="240" w:lineRule="auto"/>
              <w:textAlignment w:val="center"/>
              <w:rPr>
                <w:rFonts w:ascii="宋体" w:hAnsi="宋体" w:eastAsia="宋体" w:cs="宋体"/>
                <w:szCs w:val="21"/>
              </w:rPr>
            </w:pPr>
          </w:p>
          <w:p w14:paraId="207EFFC1">
            <w:pPr>
              <w:spacing w:line="240" w:lineRule="auto"/>
              <w:textAlignment w:val="center"/>
              <w:rPr>
                <w:rFonts w:ascii="宋体" w:hAnsi="宋体" w:eastAsia="宋体" w:cs="宋体"/>
                <w:szCs w:val="21"/>
              </w:rPr>
            </w:pPr>
          </w:p>
          <w:p w14:paraId="1934D5BE">
            <w:pPr>
              <w:spacing w:line="240" w:lineRule="auto"/>
              <w:textAlignment w:val="center"/>
              <w:rPr>
                <w:rFonts w:ascii="宋体" w:hAnsi="宋体" w:eastAsia="宋体" w:cs="宋体"/>
                <w:szCs w:val="21"/>
              </w:rPr>
            </w:pPr>
          </w:p>
          <w:p w14:paraId="32C77D31">
            <w:pPr>
              <w:spacing w:line="240" w:lineRule="auto"/>
              <w:textAlignment w:val="center"/>
              <w:rPr>
                <w:rFonts w:ascii="宋体" w:hAnsi="宋体" w:eastAsia="宋体" w:cs="宋体"/>
                <w:szCs w:val="21"/>
              </w:rPr>
            </w:pPr>
          </w:p>
          <w:p w14:paraId="58992C4F">
            <w:pPr>
              <w:spacing w:line="240" w:lineRule="auto"/>
              <w:textAlignment w:val="center"/>
              <w:rPr>
                <w:rFonts w:ascii="宋体" w:hAnsi="宋体" w:eastAsia="宋体" w:cs="宋体"/>
                <w:szCs w:val="21"/>
              </w:rPr>
            </w:pPr>
          </w:p>
          <w:p w14:paraId="6E894F53">
            <w:pPr>
              <w:spacing w:line="240" w:lineRule="auto"/>
              <w:textAlignment w:val="center"/>
              <w:rPr>
                <w:rFonts w:ascii="宋体" w:hAnsi="宋体" w:eastAsia="宋体" w:cs="宋体"/>
                <w:szCs w:val="21"/>
              </w:rPr>
            </w:pPr>
          </w:p>
          <w:p w14:paraId="51654429">
            <w:pPr>
              <w:spacing w:line="240" w:lineRule="auto"/>
              <w:textAlignment w:val="center"/>
              <w:rPr>
                <w:rFonts w:ascii="宋体" w:hAnsi="宋体" w:eastAsia="宋体" w:cs="宋体"/>
                <w:szCs w:val="21"/>
              </w:rPr>
            </w:pPr>
          </w:p>
          <w:p w14:paraId="7AFA7A27">
            <w:pPr>
              <w:spacing w:line="240" w:lineRule="auto"/>
              <w:textAlignment w:val="center"/>
              <w:rPr>
                <w:rFonts w:ascii="宋体" w:hAnsi="宋体" w:eastAsia="宋体" w:cs="宋体"/>
                <w:szCs w:val="21"/>
              </w:rPr>
            </w:pPr>
          </w:p>
          <w:p w14:paraId="223DA739">
            <w:pPr>
              <w:spacing w:line="240" w:lineRule="auto"/>
              <w:textAlignment w:val="center"/>
              <w:rPr>
                <w:rFonts w:ascii="宋体" w:hAnsi="宋体" w:eastAsia="宋体" w:cs="宋体"/>
                <w:szCs w:val="21"/>
              </w:rPr>
            </w:pPr>
          </w:p>
          <w:p w14:paraId="05BD6C82">
            <w:pPr>
              <w:spacing w:line="240" w:lineRule="auto"/>
              <w:textAlignment w:val="center"/>
              <w:rPr>
                <w:rFonts w:ascii="宋体" w:hAnsi="宋体" w:eastAsia="宋体" w:cs="宋体"/>
                <w:szCs w:val="21"/>
              </w:rPr>
            </w:pPr>
            <w:r>
              <w:rPr>
                <w:rFonts w:hint="eastAsia" w:ascii="宋体" w:hAnsi="宋体" w:eastAsia="宋体" w:cs="宋体"/>
                <w:szCs w:val="21"/>
              </w:rPr>
              <w:t>疾病随访</w:t>
            </w:r>
          </w:p>
        </w:tc>
        <w:tc>
          <w:tcPr>
            <w:tcW w:w="1560" w:type="dxa"/>
            <w:tcBorders>
              <w:tl2br w:val="nil"/>
              <w:tr2bl w:val="nil"/>
            </w:tcBorders>
            <w:vAlign w:val="center"/>
          </w:tcPr>
          <w:p w14:paraId="461B9C85">
            <w:pPr>
              <w:spacing w:line="240" w:lineRule="auto"/>
              <w:textAlignment w:val="center"/>
              <w:rPr>
                <w:rFonts w:ascii="宋体" w:hAnsi="宋体" w:eastAsia="宋体" w:cs="宋体"/>
                <w:szCs w:val="21"/>
              </w:rPr>
            </w:pPr>
            <w:r>
              <w:rPr>
                <w:rFonts w:hint="eastAsia" w:ascii="宋体" w:hAnsi="宋体" w:eastAsia="宋体" w:cs="宋体"/>
                <w:szCs w:val="21"/>
              </w:rPr>
              <w:t>随访入组</w:t>
            </w:r>
          </w:p>
        </w:tc>
        <w:tc>
          <w:tcPr>
            <w:tcW w:w="4819" w:type="dxa"/>
            <w:tcBorders>
              <w:tl2br w:val="nil"/>
              <w:tr2bl w:val="nil"/>
            </w:tcBorders>
            <w:vAlign w:val="center"/>
          </w:tcPr>
          <w:p w14:paraId="5641A69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1.支持选择患者入组：</w:t>
            </w:r>
          </w:p>
          <w:p w14:paraId="3FA82428">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1）从患者列表选择，点击随访入组。</w:t>
            </w:r>
          </w:p>
          <w:p w14:paraId="3658122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2）选择病种，随访路径，随访小组、第一次随访日期、以及监测方案。</w:t>
            </w:r>
          </w:p>
          <w:p w14:paraId="6DBAD809">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2.支持手机扫码方式入组：</w:t>
            </w:r>
          </w:p>
          <w:p w14:paraId="39FDC4A3">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1）生产入组二维码。</w:t>
            </w:r>
          </w:p>
          <w:p w14:paraId="47CF0E4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2）患者扫码进入患者池。事先选择病种、管理分级和随访路径，生成随访二维码。</w:t>
            </w:r>
          </w:p>
        </w:tc>
      </w:tr>
      <w:tr w14:paraId="7BB8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633B660C">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730CC77D">
            <w:pPr>
              <w:spacing w:line="240" w:lineRule="auto"/>
              <w:textAlignment w:val="center"/>
              <w:rPr>
                <w:rFonts w:ascii="宋体" w:hAnsi="宋体" w:eastAsia="宋体" w:cs="宋体"/>
                <w:szCs w:val="21"/>
              </w:rPr>
            </w:pPr>
          </w:p>
        </w:tc>
        <w:tc>
          <w:tcPr>
            <w:tcW w:w="1560" w:type="dxa"/>
            <w:tcBorders>
              <w:tl2br w:val="nil"/>
              <w:tr2bl w:val="nil"/>
            </w:tcBorders>
            <w:vAlign w:val="center"/>
          </w:tcPr>
          <w:p w14:paraId="5F880B87">
            <w:pPr>
              <w:spacing w:line="240" w:lineRule="auto"/>
              <w:textAlignment w:val="center"/>
              <w:rPr>
                <w:rFonts w:ascii="宋体" w:hAnsi="宋体" w:eastAsia="宋体" w:cs="宋体"/>
                <w:szCs w:val="21"/>
              </w:rPr>
            </w:pPr>
            <w:r>
              <w:rPr>
                <w:rFonts w:hint="eastAsia" w:ascii="宋体" w:hAnsi="宋体" w:eastAsia="宋体" w:cs="宋体"/>
                <w:szCs w:val="21"/>
              </w:rPr>
              <w:t>随访工作台</w:t>
            </w:r>
          </w:p>
        </w:tc>
        <w:tc>
          <w:tcPr>
            <w:tcW w:w="4819" w:type="dxa"/>
            <w:tcBorders>
              <w:tl2br w:val="nil"/>
              <w:tr2bl w:val="nil"/>
            </w:tcBorders>
            <w:vAlign w:val="center"/>
          </w:tcPr>
          <w:p w14:paraId="286EC886">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随访工作台提供以下功能：</w:t>
            </w:r>
          </w:p>
          <w:p w14:paraId="28E01F3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1）查看随访工作日程：患者入组后可在工作台看到随访工作日程；</w:t>
            </w:r>
          </w:p>
          <w:p w14:paraId="35E5DB2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2）点击办理开始随访工作；</w:t>
            </w:r>
          </w:p>
          <w:p w14:paraId="1D9C0E56">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3）查看随访计划：可以进入查看随访问卷、项目、评估量表、干预方案、健康宣教；</w:t>
            </w:r>
          </w:p>
          <w:p w14:paraId="54C25B23">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4）执行随访计划：启动随访，可以选择正常随访、失访、患者死亡；</w:t>
            </w:r>
          </w:p>
          <w:p w14:paraId="0163959B">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5）填写问卷：随访计划中点击随访问卷进入。随访问卷可以分次填写。选择继续随访，也可以调整随访路径；</w:t>
            </w:r>
          </w:p>
          <w:p w14:paraId="3260017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6）问卷预填：基于由专科大数据中心推送的患者临床数据，进行问卷预填。预填规则根据需求调整；</w:t>
            </w:r>
          </w:p>
          <w:p w14:paraId="77B89D8D">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7）支持上传项目报告；</w:t>
            </w:r>
          </w:p>
          <w:p w14:paraId="30763A3B">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8）评估量表：支持填写评估量表。</w:t>
            </w:r>
          </w:p>
          <w:p w14:paraId="265F3053">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9）推送干预方案：可以针对某个患者，额外推送干预方案，健康教育方案等；</w:t>
            </w:r>
            <w:r>
              <w:rPr>
                <w:rFonts w:ascii="宋体" w:hAnsi="宋体" w:eastAsia="宋体" w:cs="宋体"/>
                <w:szCs w:val="21"/>
                <w:lang w:bidi="ar"/>
              </w:rPr>
              <w:t>可以</w:t>
            </w:r>
            <w:r>
              <w:rPr>
                <w:rFonts w:hint="eastAsia" w:ascii="宋体" w:hAnsi="宋体" w:eastAsia="宋体" w:cs="宋体"/>
                <w:szCs w:val="21"/>
                <w:lang w:bidi="ar"/>
              </w:rPr>
              <w:t>选择一个或者多个推送对象，也可以选择随访路径推送给路径上的所有患者。推送时，选择推送时间，选择干预方案；</w:t>
            </w:r>
          </w:p>
          <w:p w14:paraId="1FDB4CAD">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（10）推送健康教育方案：推送健康教育方案给患者人群。可以选择患者类型（早筛、临床、总库）、病种和风险等级、推送时间以及健康教育方案。</w:t>
            </w:r>
          </w:p>
        </w:tc>
      </w:tr>
      <w:tr w14:paraId="33A2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34F81800">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2B00677E">
            <w:pPr>
              <w:spacing w:line="240" w:lineRule="auto"/>
              <w:textAlignment w:val="center"/>
              <w:rPr>
                <w:rFonts w:ascii="宋体" w:hAnsi="宋体" w:eastAsia="宋体" w:cs="宋体"/>
                <w:szCs w:val="21"/>
              </w:rPr>
            </w:pPr>
          </w:p>
        </w:tc>
        <w:tc>
          <w:tcPr>
            <w:tcW w:w="1560" w:type="dxa"/>
            <w:tcBorders>
              <w:tl2br w:val="nil"/>
              <w:tr2bl w:val="nil"/>
            </w:tcBorders>
            <w:vAlign w:val="center"/>
          </w:tcPr>
          <w:p w14:paraId="041B3261">
            <w:pPr>
              <w:spacing w:line="240" w:lineRule="auto"/>
              <w:textAlignment w:val="center"/>
              <w:rPr>
                <w:rFonts w:ascii="宋体" w:hAnsi="宋体" w:eastAsia="宋体" w:cs="宋体"/>
                <w:szCs w:val="21"/>
              </w:rPr>
            </w:pPr>
            <w:r>
              <w:rPr>
                <w:rFonts w:hint="eastAsia" w:ascii="宋体" w:hAnsi="宋体" w:eastAsia="宋体" w:cs="宋体"/>
                <w:szCs w:val="21"/>
              </w:rPr>
              <w:t>随访配置</w:t>
            </w:r>
          </w:p>
        </w:tc>
        <w:tc>
          <w:tcPr>
            <w:tcW w:w="4819" w:type="dxa"/>
            <w:tcBorders>
              <w:tl2br w:val="nil"/>
              <w:tr2bl w:val="nil"/>
            </w:tcBorders>
            <w:vAlign w:val="center"/>
          </w:tcPr>
          <w:p w14:paraId="22616AFD">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可以通过随访工作台进行随访配置：</w:t>
            </w:r>
          </w:p>
          <w:p w14:paraId="7331DF5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1）病种配置：增加病种、修改病种信息。</w:t>
            </w:r>
          </w:p>
          <w:p w14:paraId="7B0C4E85">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2）随访小组配置：随访小组内的成员能执行同一个随访计划；</w:t>
            </w:r>
          </w:p>
          <w:p w14:paraId="4D9966F6">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3）随访路径配置：支持新增随访路径；从管理路径列表选择某个路径，进行编辑、配置和管理；</w:t>
            </w:r>
          </w:p>
          <w:p w14:paraId="0B1F2B69">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显示管理路径配置：可以查看随访的阶段。可以选择指定的阶段，查看某个阶段上相关联的随访问卷；</w:t>
            </w:r>
          </w:p>
          <w:p w14:paraId="471B3F7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4）问卷配置：支持对问卷进行配置；</w:t>
            </w:r>
          </w:p>
          <w:p w14:paraId="1F36215E">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5）项目配置：支持对项目信息进行配置；</w:t>
            </w:r>
          </w:p>
          <w:p w14:paraId="4F70CE87">
            <w:pPr>
              <w:spacing w:line="240" w:lineRule="auto"/>
              <w:jc w:val="left"/>
              <w:textAlignment w:val="center"/>
              <w:rPr>
                <w:rFonts w:ascii="宋体" w:hAnsi="宋体"/>
              </w:rPr>
            </w:pPr>
            <w:r>
              <w:rPr>
                <w:rFonts w:hint="eastAsia" w:ascii="宋体" w:hAnsi="宋体" w:eastAsia="宋体" w:cs="宋体"/>
                <w:szCs w:val="21"/>
                <w:lang w:bidi="ar"/>
              </w:rPr>
              <w:t>6）量表配置：支持对量表进行配置。</w:t>
            </w:r>
          </w:p>
        </w:tc>
      </w:tr>
      <w:tr w14:paraId="0D61A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27E203B5">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5F070956">
            <w:pPr>
              <w:spacing w:line="240" w:lineRule="auto"/>
              <w:textAlignment w:val="center"/>
              <w:rPr>
                <w:rFonts w:ascii="宋体" w:hAnsi="宋体" w:eastAsia="宋体" w:cs="宋体"/>
                <w:szCs w:val="21"/>
              </w:rPr>
            </w:pPr>
          </w:p>
        </w:tc>
        <w:tc>
          <w:tcPr>
            <w:tcW w:w="1560" w:type="dxa"/>
            <w:tcBorders>
              <w:tl2br w:val="nil"/>
              <w:tr2bl w:val="nil"/>
            </w:tcBorders>
            <w:vAlign w:val="center"/>
          </w:tcPr>
          <w:p w14:paraId="6EBE5276">
            <w:pPr>
              <w:spacing w:line="240" w:lineRule="auto"/>
              <w:textAlignment w:val="center"/>
              <w:rPr>
                <w:rFonts w:ascii="宋体" w:hAnsi="宋体" w:eastAsia="宋体" w:cs="宋体"/>
                <w:szCs w:val="21"/>
              </w:rPr>
            </w:pPr>
            <w:r>
              <w:rPr>
                <w:rFonts w:hint="eastAsia" w:ascii="宋体" w:hAnsi="宋体" w:eastAsia="宋体" w:cs="宋体"/>
                <w:szCs w:val="21"/>
              </w:rPr>
              <w:t>疾病随访统计</w:t>
            </w:r>
          </w:p>
        </w:tc>
        <w:tc>
          <w:tcPr>
            <w:tcW w:w="4819" w:type="dxa"/>
            <w:tcBorders>
              <w:tl2br w:val="nil"/>
              <w:tr2bl w:val="nil"/>
            </w:tcBorders>
            <w:vAlign w:val="center"/>
          </w:tcPr>
          <w:p w14:paraId="4010313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系统支持疾病随访统计分析：</w:t>
            </w:r>
          </w:p>
          <w:p w14:paraId="6C665099">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1.支持随访工作量统计；</w:t>
            </w:r>
          </w:p>
          <w:p w14:paraId="7CBB50B2">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2.支持随访进度统计：可以根据随访路径统计；</w:t>
            </w:r>
          </w:p>
          <w:p w14:paraId="61F59FD1">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3.患者随访记录：支持查看患者随访记录。</w:t>
            </w:r>
          </w:p>
        </w:tc>
      </w:tr>
      <w:tr w14:paraId="464A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4DA4D45A">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54F199E1">
            <w:pPr>
              <w:spacing w:line="240" w:lineRule="auto"/>
              <w:textAlignment w:val="center"/>
              <w:rPr>
                <w:rFonts w:ascii="宋体" w:hAnsi="宋体" w:eastAsia="宋体" w:cs="宋体"/>
                <w:szCs w:val="21"/>
              </w:rPr>
            </w:pPr>
          </w:p>
        </w:tc>
        <w:tc>
          <w:tcPr>
            <w:tcW w:w="1560" w:type="dxa"/>
            <w:vMerge w:val="restart"/>
            <w:tcBorders>
              <w:tl2br w:val="nil"/>
              <w:tr2bl w:val="nil"/>
            </w:tcBorders>
            <w:vAlign w:val="center"/>
          </w:tcPr>
          <w:p w14:paraId="7A547928">
            <w:pPr>
              <w:spacing w:line="240" w:lineRule="auto"/>
              <w:textAlignment w:val="center"/>
              <w:rPr>
                <w:rFonts w:ascii="宋体" w:hAnsi="宋体" w:eastAsia="宋体" w:cs="宋体"/>
                <w:szCs w:val="21"/>
              </w:rPr>
            </w:pPr>
            <w:r>
              <w:rPr>
                <w:rFonts w:hint="eastAsia" w:ascii="宋体" w:hAnsi="宋体" w:eastAsia="宋体" w:cs="宋体"/>
                <w:szCs w:val="21"/>
              </w:rPr>
              <w:t>疾病健康宣教</w:t>
            </w:r>
          </w:p>
        </w:tc>
        <w:tc>
          <w:tcPr>
            <w:tcW w:w="4819" w:type="dxa"/>
            <w:tcBorders>
              <w:tl2br w:val="nil"/>
              <w:tr2bl w:val="nil"/>
            </w:tcBorders>
            <w:vAlign w:val="center"/>
          </w:tcPr>
          <w:p w14:paraId="143CCEB5">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支持健康宣教资料管理</w:t>
            </w:r>
          </w:p>
        </w:tc>
      </w:tr>
      <w:tr w14:paraId="61D08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390BBD32">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11570913">
            <w:pPr>
              <w:spacing w:line="240" w:lineRule="auto"/>
              <w:textAlignment w:val="center"/>
              <w:rPr>
                <w:rFonts w:ascii="宋体" w:hAnsi="宋体" w:eastAsia="宋体" w:cs="宋体"/>
                <w:szCs w:val="21"/>
              </w:rPr>
            </w:pPr>
          </w:p>
        </w:tc>
        <w:tc>
          <w:tcPr>
            <w:tcW w:w="1560" w:type="dxa"/>
            <w:vMerge w:val="continue"/>
            <w:tcBorders>
              <w:tl2br w:val="nil"/>
              <w:tr2bl w:val="nil"/>
            </w:tcBorders>
            <w:vAlign w:val="center"/>
          </w:tcPr>
          <w:p w14:paraId="4DF07611">
            <w:pPr>
              <w:spacing w:line="240" w:lineRule="auto"/>
              <w:textAlignment w:val="center"/>
              <w:rPr>
                <w:rFonts w:ascii="宋体" w:hAnsi="宋体" w:eastAsia="宋体" w:cs="宋体"/>
                <w:szCs w:val="21"/>
              </w:rPr>
            </w:pPr>
          </w:p>
        </w:tc>
        <w:tc>
          <w:tcPr>
            <w:tcW w:w="4819" w:type="dxa"/>
            <w:tcBorders>
              <w:tl2br w:val="nil"/>
              <w:tr2bl w:val="nil"/>
            </w:tcBorders>
            <w:vAlign w:val="center"/>
          </w:tcPr>
          <w:p w14:paraId="2B3299D2">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支持健康宣教信息推送</w:t>
            </w:r>
          </w:p>
        </w:tc>
      </w:tr>
      <w:tr w14:paraId="5E90C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59A18555">
            <w:pPr>
              <w:spacing w:line="240" w:lineRule="auto"/>
              <w:jc w:val="left"/>
              <w:textAlignment w:val="center"/>
              <w:rPr>
                <w:rFonts w:ascii="宋体" w:hAnsi="宋体" w:eastAsia="宋体" w:cs="宋体"/>
                <w:szCs w:val="21"/>
                <w:lang w:bidi="ar"/>
              </w:rPr>
            </w:pPr>
          </w:p>
        </w:tc>
        <w:tc>
          <w:tcPr>
            <w:tcW w:w="1559" w:type="dxa"/>
            <w:tcBorders>
              <w:tl2br w:val="nil"/>
              <w:tr2bl w:val="nil"/>
            </w:tcBorders>
          </w:tcPr>
          <w:p w14:paraId="3E09F6E4">
            <w:pPr>
              <w:spacing w:line="240" w:lineRule="auto"/>
              <w:textAlignment w:val="center"/>
              <w:rPr>
                <w:rFonts w:ascii="宋体" w:hAnsi="宋体" w:eastAsia="宋体" w:cs="宋体"/>
                <w:szCs w:val="21"/>
              </w:rPr>
            </w:pPr>
          </w:p>
          <w:p w14:paraId="4DCF39D4">
            <w:pPr>
              <w:spacing w:line="240" w:lineRule="auto"/>
              <w:textAlignment w:val="center"/>
              <w:rPr>
                <w:rFonts w:ascii="宋体" w:hAnsi="宋体" w:eastAsia="宋体" w:cs="宋体"/>
                <w:szCs w:val="21"/>
              </w:rPr>
            </w:pPr>
            <w:r>
              <w:rPr>
                <w:rFonts w:hint="eastAsia" w:ascii="宋体" w:hAnsi="宋体" w:eastAsia="宋体" w:cs="宋体"/>
                <w:szCs w:val="21"/>
              </w:rPr>
              <w:t>医患沟通</w:t>
            </w:r>
          </w:p>
        </w:tc>
        <w:tc>
          <w:tcPr>
            <w:tcW w:w="1560" w:type="dxa"/>
            <w:tcBorders>
              <w:tl2br w:val="nil"/>
              <w:tr2bl w:val="nil"/>
            </w:tcBorders>
            <w:vAlign w:val="center"/>
          </w:tcPr>
          <w:p w14:paraId="357489B2">
            <w:pPr>
              <w:spacing w:line="240" w:lineRule="auto"/>
              <w:textAlignment w:val="center"/>
              <w:rPr>
                <w:rFonts w:ascii="宋体" w:hAnsi="宋体" w:eastAsia="宋体" w:cs="宋体"/>
                <w:szCs w:val="21"/>
              </w:rPr>
            </w:pPr>
            <w:r>
              <w:rPr>
                <w:rFonts w:hint="eastAsia" w:ascii="宋体" w:hAnsi="宋体" w:eastAsia="宋体" w:cs="宋体"/>
                <w:szCs w:val="21"/>
              </w:rPr>
              <w:t>信息提醒推送</w:t>
            </w:r>
          </w:p>
        </w:tc>
        <w:tc>
          <w:tcPr>
            <w:tcW w:w="4819" w:type="dxa"/>
            <w:tcBorders>
              <w:tl2br w:val="nil"/>
              <w:tr2bl w:val="nil"/>
            </w:tcBorders>
            <w:vAlign w:val="center"/>
          </w:tcPr>
          <w:p w14:paraId="553FD675">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随访和用药提醒等信息推送触发。可以支持：</w:t>
            </w:r>
          </w:p>
          <w:p w14:paraId="12C7A514">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（1）提前n天推送；</w:t>
            </w:r>
          </w:p>
          <w:p w14:paraId="6FB7B823">
            <w:pPr>
              <w:spacing w:line="240" w:lineRule="auto"/>
              <w:jc w:val="left"/>
              <w:textAlignment w:val="center"/>
              <w:rPr>
                <w:rFonts w:ascii="Calibri" w:hAnsi="Calibri"/>
              </w:rPr>
            </w:pPr>
            <w:r>
              <w:rPr>
                <w:rFonts w:hint="eastAsia" w:ascii="宋体" w:hAnsi="宋体" w:eastAsia="宋体" w:cs="宋体"/>
                <w:szCs w:val="21"/>
                <w:lang w:bidi="ar"/>
              </w:rPr>
              <w:t>（2）随访/量表/沟通/健康推送/干预（引导回去医院做干预）。</w:t>
            </w:r>
          </w:p>
        </w:tc>
      </w:tr>
      <w:tr w14:paraId="62A6E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4D5D5976">
            <w:pPr>
              <w:spacing w:line="240" w:lineRule="auto"/>
              <w:jc w:val="left"/>
              <w:textAlignment w:val="center"/>
              <w:rPr>
                <w:rFonts w:ascii="宋体" w:hAnsi="宋体" w:eastAsia="宋体" w:cs="宋体"/>
                <w:szCs w:val="21"/>
                <w:lang w:bidi="ar"/>
              </w:rPr>
            </w:pPr>
          </w:p>
        </w:tc>
        <w:tc>
          <w:tcPr>
            <w:tcW w:w="1559" w:type="dxa"/>
            <w:vMerge w:val="restart"/>
            <w:tcBorders>
              <w:tl2br w:val="nil"/>
              <w:tr2bl w:val="nil"/>
            </w:tcBorders>
          </w:tcPr>
          <w:p w14:paraId="56782FDA">
            <w:pPr>
              <w:spacing w:line="240" w:lineRule="auto"/>
              <w:textAlignment w:val="center"/>
              <w:rPr>
                <w:rFonts w:ascii="宋体" w:hAnsi="宋体" w:eastAsia="宋体" w:cs="宋体"/>
                <w:szCs w:val="21"/>
              </w:rPr>
            </w:pPr>
          </w:p>
          <w:p w14:paraId="51A1C4B3">
            <w:pPr>
              <w:spacing w:line="240" w:lineRule="auto"/>
              <w:textAlignment w:val="center"/>
              <w:rPr>
                <w:rFonts w:ascii="宋体" w:hAnsi="宋体" w:eastAsia="宋体" w:cs="宋体"/>
                <w:szCs w:val="21"/>
              </w:rPr>
            </w:pPr>
          </w:p>
          <w:p w14:paraId="37660EB0">
            <w:pPr>
              <w:spacing w:line="240" w:lineRule="auto"/>
              <w:textAlignment w:val="center"/>
              <w:rPr>
                <w:rFonts w:ascii="宋体" w:hAnsi="宋体" w:eastAsia="宋体" w:cs="宋体"/>
                <w:szCs w:val="21"/>
              </w:rPr>
            </w:pPr>
          </w:p>
          <w:p w14:paraId="79FCAF1B">
            <w:pPr>
              <w:spacing w:line="240" w:lineRule="auto"/>
              <w:textAlignment w:val="center"/>
              <w:rPr>
                <w:rFonts w:ascii="宋体" w:hAnsi="宋体" w:eastAsia="宋体" w:cs="宋体"/>
                <w:szCs w:val="21"/>
              </w:rPr>
            </w:pPr>
          </w:p>
          <w:p w14:paraId="35CCF27D">
            <w:pPr>
              <w:spacing w:line="240" w:lineRule="auto"/>
              <w:textAlignment w:val="center"/>
              <w:rPr>
                <w:rFonts w:ascii="宋体" w:hAnsi="宋体" w:eastAsia="宋体" w:cs="宋体"/>
                <w:szCs w:val="21"/>
              </w:rPr>
            </w:pPr>
            <w:r>
              <w:rPr>
                <w:rFonts w:ascii="宋体" w:hAnsi="宋体" w:eastAsia="宋体" w:cs="宋体"/>
                <w:szCs w:val="21"/>
              </w:rPr>
              <w:t>患者移动端</w:t>
            </w:r>
          </w:p>
        </w:tc>
        <w:tc>
          <w:tcPr>
            <w:tcW w:w="1560" w:type="dxa"/>
            <w:tcBorders>
              <w:tl2br w:val="nil"/>
              <w:tr2bl w:val="nil"/>
            </w:tcBorders>
            <w:vAlign w:val="center"/>
          </w:tcPr>
          <w:p w14:paraId="1EAC3D14">
            <w:pPr>
              <w:spacing w:line="240" w:lineRule="auto"/>
              <w:textAlignment w:val="center"/>
              <w:rPr>
                <w:rFonts w:ascii="宋体" w:hAnsi="宋体" w:eastAsia="宋体" w:cs="宋体"/>
                <w:szCs w:val="21"/>
              </w:rPr>
            </w:pPr>
            <w:r>
              <w:rPr>
                <w:rFonts w:hint="eastAsia" w:ascii="宋体" w:hAnsi="宋体" w:eastAsia="宋体" w:cs="宋体"/>
                <w:szCs w:val="21"/>
              </w:rPr>
              <w:t>健康日志/健康信息</w:t>
            </w:r>
          </w:p>
        </w:tc>
        <w:tc>
          <w:tcPr>
            <w:tcW w:w="4819" w:type="dxa"/>
            <w:tcBorders>
              <w:tl2br w:val="nil"/>
              <w:tr2bl w:val="nil"/>
            </w:tcBorders>
            <w:vAlign w:val="center"/>
          </w:tcPr>
          <w:p w14:paraId="57E57E53">
            <w:pPr>
              <w:spacing w:line="240" w:lineRule="auto"/>
              <w:jc w:val="left"/>
              <w:textAlignment w:val="center"/>
            </w:pPr>
            <w:r>
              <w:rPr>
                <w:rFonts w:hint="eastAsia" w:ascii="宋体" w:hAnsi="宋体" w:eastAsia="宋体" w:cs="宋体"/>
                <w:szCs w:val="21"/>
                <w:lang w:bidi="ar"/>
              </w:rPr>
              <w:t>健康信息模块是为患者提供用上报自身健康信息基本情况的模块，包括基本信息、体格检查、过敏原、疾病症状以及历史病历图片上传，从而形成自身的基本健康档案，让医生更好了解患者最新的病情，进而更好的为患者进行治疗。</w:t>
            </w:r>
          </w:p>
        </w:tc>
      </w:tr>
      <w:tr w14:paraId="7C35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564A2A14">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61FC8A88">
            <w:pPr>
              <w:spacing w:line="240" w:lineRule="auto"/>
              <w:textAlignment w:val="center"/>
              <w:rPr>
                <w:rFonts w:ascii="宋体" w:hAnsi="宋体" w:eastAsia="宋体" w:cs="宋体"/>
                <w:szCs w:val="21"/>
              </w:rPr>
            </w:pPr>
          </w:p>
        </w:tc>
        <w:tc>
          <w:tcPr>
            <w:tcW w:w="1560" w:type="dxa"/>
            <w:tcBorders>
              <w:tl2br w:val="nil"/>
              <w:tr2bl w:val="nil"/>
            </w:tcBorders>
            <w:vAlign w:val="center"/>
          </w:tcPr>
          <w:p w14:paraId="5A3A8CB3">
            <w:pPr>
              <w:spacing w:line="240" w:lineRule="auto"/>
              <w:textAlignment w:val="center"/>
              <w:rPr>
                <w:rFonts w:ascii="宋体" w:hAnsi="宋体" w:eastAsia="宋体" w:cs="宋体"/>
                <w:szCs w:val="21"/>
              </w:rPr>
            </w:pPr>
            <w:r>
              <w:rPr>
                <w:rFonts w:hint="eastAsia" w:ascii="宋体" w:hAnsi="宋体" w:eastAsia="宋体" w:cs="宋体"/>
                <w:szCs w:val="21"/>
              </w:rPr>
              <w:t>用药提醒</w:t>
            </w:r>
          </w:p>
        </w:tc>
        <w:tc>
          <w:tcPr>
            <w:tcW w:w="4819" w:type="dxa"/>
            <w:tcBorders>
              <w:tl2br w:val="nil"/>
              <w:tr2bl w:val="nil"/>
            </w:tcBorders>
            <w:vAlign w:val="center"/>
          </w:tcPr>
          <w:p w14:paraId="7E6CE492">
            <w:pPr>
              <w:spacing w:line="240" w:lineRule="auto"/>
              <w:jc w:val="left"/>
              <w:textAlignment w:val="center"/>
            </w:pPr>
            <w:r>
              <w:rPr>
                <w:rFonts w:hint="eastAsia" w:ascii="宋体" w:hAnsi="宋体" w:eastAsia="宋体" w:cs="宋体"/>
                <w:szCs w:val="21"/>
                <w:lang w:bidi="ar"/>
              </w:rPr>
              <w:t>用药提醒模块是为患者提供用要提醒服务功能，患者可记录多次提醒记录按时服药并设置服药频度和服药间隔，并支持短信提醒和应用内部提醒两种方式，进而更好的为患者的康复提供帮助。</w:t>
            </w:r>
          </w:p>
        </w:tc>
      </w:tr>
      <w:tr w14:paraId="66675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481FC93E">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2761700E">
            <w:pPr>
              <w:spacing w:line="240" w:lineRule="auto"/>
              <w:textAlignment w:val="center"/>
              <w:rPr>
                <w:rFonts w:ascii="宋体" w:hAnsi="宋体" w:eastAsia="宋体" w:cs="宋体"/>
                <w:szCs w:val="21"/>
              </w:rPr>
            </w:pPr>
          </w:p>
        </w:tc>
        <w:tc>
          <w:tcPr>
            <w:tcW w:w="1560" w:type="dxa"/>
            <w:tcBorders>
              <w:tl2br w:val="nil"/>
              <w:tr2bl w:val="nil"/>
            </w:tcBorders>
            <w:vAlign w:val="center"/>
          </w:tcPr>
          <w:p w14:paraId="787A41B1">
            <w:pPr>
              <w:spacing w:line="240" w:lineRule="auto"/>
              <w:textAlignment w:val="center"/>
              <w:rPr>
                <w:rFonts w:ascii="宋体" w:hAnsi="宋体" w:eastAsia="宋体" w:cs="宋体"/>
                <w:szCs w:val="21"/>
              </w:rPr>
            </w:pPr>
            <w:r>
              <w:rPr>
                <w:rFonts w:hint="eastAsia" w:ascii="宋体" w:hAnsi="宋体" w:eastAsia="宋体" w:cs="宋体"/>
                <w:szCs w:val="21"/>
              </w:rPr>
              <w:t>我的医生</w:t>
            </w:r>
          </w:p>
        </w:tc>
        <w:tc>
          <w:tcPr>
            <w:tcW w:w="4819" w:type="dxa"/>
            <w:tcBorders>
              <w:tl2br w:val="nil"/>
              <w:tr2bl w:val="nil"/>
            </w:tcBorders>
            <w:vAlign w:val="center"/>
          </w:tcPr>
          <w:p w14:paraId="66C3406A">
            <w:pPr>
              <w:spacing w:line="240" w:lineRule="auto"/>
              <w:jc w:val="left"/>
              <w:textAlignment w:val="center"/>
            </w:pPr>
            <w:r>
              <w:rPr>
                <w:rFonts w:hint="eastAsia" w:ascii="宋体" w:hAnsi="宋体" w:eastAsia="宋体" w:cs="宋体"/>
                <w:szCs w:val="21"/>
                <w:lang w:bidi="ar"/>
              </w:rPr>
              <w:t>我的医生模块是基于大数据平台医生数据为基础，与大数据平台互联互通，患者用户通过手机端查看所在科室的医生列表和医生详情信息，为以后提供在线沟通服务为基础，让医生更好了解患者最新的病情，进而更好的为患者进行治疗。</w:t>
            </w:r>
          </w:p>
        </w:tc>
      </w:tr>
      <w:tr w14:paraId="3A4D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7DEFFE3F">
            <w:pPr>
              <w:spacing w:line="240" w:lineRule="auto"/>
              <w:jc w:val="left"/>
              <w:textAlignment w:val="center"/>
              <w:rPr>
                <w:rFonts w:ascii="宋体" w:hAnsi="宋体" w:eastAsia="宋体" w:cs="宋体"/>
                <w:szCs w:val="21"/>
                <w:lang w:bidi="ar"/>
              </w:rPr>
            </w:pPr>
          </w:p>
        </w:tc>
        <w:tc>
          <w:tcPr>
            <w:tcW w:w="1559" w:type="dxa"/>
            <w:vMerge w:val="restart"/>
            <w:tcBorders>
              <w:tl2br w:val="nil"/>
              <w:tr2bl w:val="nil"/>
            </w:tcBorders>
          </w:tcPr>
          <w:p w14:paraId="3C8A4772">
            <w:pPr>
              <w:spacing w:line="240" w:lineRule="auto"/>
              <w:textAlignment w:val="center"/>
              <w:rPr>
                <w:rFonts w:ascii="宋体" w:hAnsi="宋体" w:eastAsia="宋体" w:cs="宋体"/>
                <w:szCs w:val="21"/>
              </w:rPr>
            </w:pPr>
          </w:p>
          <w:p w14:paraId="385CE4AF">
            <w:pPr>
              <w:spacing w:line="240" w:lineRule="auto"/>
              <w:textAlignment w:val="center"/>
              <w:rPr>
                <w:rFonts w:ascii="宋体" w:hAnsi="宋体" w:eastAsia="宋体" w:cs="宋体"/>
                <w:szCs w:val="21"/>
              </w:rPr>
            </w:pPr>
          </w:p>
          <w:p w14:paraId="5FD7FF3B">
            <w:pPr>
              <w:spacing w:line="240" w:lineRule="auto"/>
              <w:textAlignment w:val="center"/>
              <w:rPr>
                <w:rFonts w:ascii="宋体" w:hAnsi="宋体" w:eastAsia="宋体" w:cs="宋体"/>
                <w:szCs w:val="21"/>
              </w:rPr>
            </w:pPr>
          </w:p>
          <w:p w14:paraId="1831FA2E">
            <w:pPr>
              <w:spacing w:line="240" w:lineRule="auto"/>
              <w:textAlignment w:val="center"/>
              <w:rPr>
                <w:rFonts w:ascii="宋体" w:hAnsi="宋体" w:eastAsia="宋体" w:cs="宋体"/>
                <w:szCs w:val="21"/>
              </w:rPr>
            </w:pPr>
          </w:p>
          <w:p w14:paraId="2DFA942E">
            <w:pPr>
              <w:spacing w:line="240" w:lineRule="auto"/>
              <w:textAlignment w:val="center"/>
              <w:rPr>
                <w:rFonts w:ascii="宋体" w:hAnsi="宋体" w:eastAsia="宋体" w:cs="宋体"/>
                <w:szCs w:val="21"/>
              </w:rPr>
            </w:pPr>
          </w:p>
          <w:p w14:paraId="6894213B">
            <w:pPr>
              <w:spacing w:line="240" w:lineRule="auto"/>
              <w:textAlignment w:val="center"/>
              <w:rPr>
                <w:rFonts w:ascii="宋体" w:hAnsi="宋体" w:eastAsia="宋体" w:cs="宋体"/>
                <w:szCs w:val="21"/>
              </w:rPr>
            </w:pPr>
            <w:r>
              <w:rPr>
                <w:rFonts w:ascii="宋体" w:hAnsi="宋体" w:eastAsia="宋体" w:cs="宋体"/>
                <w:szCs w:val="21"/>
              </w:rPr>
              <w:t>医生移动端</w:t>
            </w:r>
          </w:p>
        </w:tc>
        <w:tc>
          <w:tcPr>
            <w:tcW w:w="1560" w:type="dxa"/>
            <w:tcBorders>
              <w:tl2br w:val="nil"/>
              <w:tr2bl w:val="nil"/>
            </w:tcBorders>
            <w:vAlign w:val="center"/>
          </w:tcPr>
          <w:p w14:paraId="50402438">
            <w:pPr>
              <w:spacing w:line="240" w:lineRule="auto"/>
              <w:textAlignment w:val="center"/>
              <w:rPr>
                <w:rFonts w:ascii="宋体" w:hAnsi="宋体" w:eastAsia="宋体" w:cs="宋体"/>
                <w:szCs w:val="21"/>
              </w:rPr>
            </w:pPr>
            <w:r>
              <w:rPr>
                <w:rFonts w:hint="eastAsia" w:ascii="宋体" w:hAnsi="宋体" w:eastAsia="宋体" w:cs="宋体"/>
                <w:szCs w:val="21"/>
              </w:rPr>
              <w:t>我的患者</w:t>
            </w:r>
          </w:p>
        </w:tc>
        <w:tc>
          <w:tcPr>
            <w:tcW w:w="4819" w:type="dxa"/>
            <w:tcBorders>
              <w:tl2br w:val="nil"/>
              <w:tr2bl w:val="nil"/>
            </w:tcBorders>
            <w:vAlign w:val="center"/>
          </w:tcPr>
          <w:p w14:paraId="2922DB3C">
            <w:pPr>
              <w:spacing w:line="240" w:lineRule="auto"/>
              <w:jc w:val="left"/>
              <w:textAlignment w:val="center"/>
            </w:pPr>
            <w:r>
              <w:rPr>
                <w:rFonts w:hint="eastAsia" w:ascii="宋体" w:hAnsi="宋体" w:eastAsia="宋体" w:cs="宋体"/>
                <w:szCs w:val="21"/>
                <w:lang w:bidi="ar"/>
              </w:rPr>
              <w:t>医生通过我的患者功能，查看权限内的患者数据列，患者数据与大数据平台患者列表互通，通过标识可以监控患者健康日常每日健康打卡数据的状态，点击患者查看患者的健康档案信息，还可以查看患者健康日常的历史数据和历史曲线图表，方便医生分析患者的病情趋势。</w:t>
            </w:r>
          </w:p>
        </w:tc>
      </w:tr>
      <w:tr w14:paraId="166DB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1CD1AD59">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117BD674">
            <w:pPr>
              <w:spacing w:line="240" w:lineRule="auto"/>
              <w:textAlignment w:val="center"/>
              <w:rPr>
                <w:rFonts w:ascii="宋体" w:hAnsi="宋体" w:eastAsia="宋体" w:cs="宋体"/>
                <w:szCs w:val="21"/>
              </w:rPr>
            </w:pPr>
          </w:p>
        </w:tc>
        <w:tc>
          <w:tcPr>
            <w:tcW w:w="1560" w:type="dxa"/>
            <w:tcBorders>
              <w:tl2br w:val="nil"/>
              <w:tr2bl w:val="nil"/>
            </w:tcBorders>
            <w:vAlign w:val="center"/>
          </w:tcPr>
          <w:p w14:paraId="5E18CB24">
            <w:pPr>
              <w:spacing w:line="240" w:lineRule="auto"/>
              <w:textAlignment w:val="center"/>
              <w:rPr>
                <w:rFonts w:ascii="宋体" w:hAnsi="宋体" w:eastAsia="宋体" w:cs="宋体"/>
                <w:szCs w:val="21"/>
              </w:rPr>
            </w:pPr>
            <w:r>
              <w:rPr>
                <w:rFonts w:hint="eastAsia" w:ascii="宋体" w:hAnsi="宋体" w:eastAsia="宋体" w:cs="宋体"/>
                <w:szCs w:val="21"/>
              </w:rPr>
              <w:t>患者随访</w:t>
            </w:r>
          </w:p>
        </w:tc>
        <w:tc>
          <w:tcPr>
            <w:tcW w:w="4819" w:type="dxa"/>
            <w:tcBorders>
              <w:tl2br w:val="nil"/>
              <w:tr2bl w:val="nil"/>
            </w:tcBorders>
            <w:vAlign w:val="center"/>
          </w:tcPr>
          <w:p w14:paraId="11B742DD">
            <w:pPr>
              <w:spacing w:line="240" w:lineRule="auto"/>
              <w:jc w:val="left"/>
              <w:textAlignment w:val="center"/>
            </w:pPr>
            <w:r>
              <w:rPr>
                <w:rFonts w:ascii="宋体" w:hAnsi="宋体" w:eastAsia="宋体" w:cs="宋体"/>
                <w:szCs w:val="21"/>
                <w:lang w:bidi="ar"/>
              </w:rPr>
              <w:t>患者随访模块是基于大数据平台患者随访数据为基础，与大数据平台互联互通，医生用户通过手机端展示科研项目的状态以及查看项目进展详情，随时随地监控项目进展情况，提高工作效率。</w:t>
            </w:r>
            <w:bookmarkStart w:id="6" w:name="_Toc29784"/>
            <w:bookmarkEnd w:id="6"/>
          </w:p>
        </w:tc>
      </w:tr>
      <w:tr w14:paraId="0597C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63AAD9A6">
            <w:pPr>
              <w:spacing w:line="240" w:lineRule="auto"/>
              <w:jc w:val="left"/>
              <w:textAlignment w:val="center"/>
              <w:rPr>
                <w:rFonts w:ascii="宋体" w:hAnsi="宋体" w:eastAsia="宋体" w:cs="宋体"/>
                <w:szCs w:val="21"/>
                <w:lang w:bidi="ar"/>
              </w:rPr>
            </w:pPr>
          </w:p>
        </w:tc>
        <w:tc>
          <w:tcPr>
            <w:tcW w:w="1559" w:type="dxa"/>
            <w:vMerge w:val="restart"/>
            <w:tcBorders>
              <w:tl2br w:val="nil"/>
              <w:tr2bl w:val="nil"/>
            </w:tcBorders>
          </w:tcPr>
          <w:p w14:paraId="09F82DF4">
            <w:pPr>
              <w:spacing w:line="240" w:lineRule="auto"/>
              <w:textAlignment w:val="center"/>
              <w:rPr>
                <w:rFonts w:ascii="宋体" w:hAnsi="宋体" w:eastAsia="宋体" w:cs="宋体"/>
                <w:szCs w:val="21"/>
              </w:rPr>
            </w:pPr>
          </w:p>
          <w:p w14:paraId="510883C6">
            <w:pPr>
              <w:spacing w:line="240" w:lineRule="auto"/>
              <w:textAlignment w:val="center"/>
              <w:rPr>
                <w:rFonts w:ascii="宋体" w:hAnsi="宋体" w:eastAsia="宋体" w:cs="宋体"/>
                <w:szCs w:val="21"/>
              </w:rPr>
            </w:pPr>
          </w:p>
          <w:p w14:paraId="27ACF554">
            <w:pPr>
              <w:spacing w:line="240" w:lineRule="auto"/>
              <w:textAlignment w:val="center"/>
              <w:rPr>
                <w:rFonts w:ascii="宋体" w:hAnsi="宋体" w:eastAsia="宋体" w:cs="宋体"/>
                <w:szCs w:val="21"/>
              </w:rPr>
            </w:pPr>
          </w:p>
          <w:p w14:paraId="6B24C926">
            <w:pPr>
              <w:spacing w:line="240" w:lineRule="auto"/>
              <w:textAlignment w:val="center"/>
              <w:rPr>
                <w:rFonts w:ascii="宋体" w:hAnsi="宋体" w:eastAsia="宋体" w:cs="宋体"/>
                <w:szCs w:val="21"/>
              </w:rPr>
            </w:pPr>
          </w:p>
          <w:p w14:paraId="03663B6A">
            <w:pPr>
              <w:spacing w:line="240" w:lineRule="auto"/>
              <w:textAlignment w:val="center"/>
              <w:rPr>
                <w:rFonts w:ascii="宋体" w:hAnsi="宋体" w:eastAsia="宋体" w:cs="宋体"/>
                <w:szCs w:val="21"/>
              </w:rPr>
            </w:pPr>
            <w:r>
              <w:rPr>
                <w:rFonts w:hint="eastAsia" w:ascii="宋体" w:hAnsi="宋体" w:eastAsia="宋体" w:cs="宋体"/>
                <w:szCs w:val="21"/>
              </w:rPr>
              <w:t>管理和配置</w:t>
            </w:r>
          </w:p>
        </w:tc>
        <w:tc>
          <w:tcPr>
            <w:tcW w:w="1560" w:type="dxa"/>
            <w:tcBorders>
              <w:tl2br w:val="nil"/>
              <w:tr2bl w:val="nil"/>
            </w:tcBorders>
            <w:vAlign w:val="center"/>
          </w:tcPr>
          <w:p w14:paraId="2A6263ED">
            <w:pPr>
              <w:spacing w:line="240" w:lineRule="auto"/>
              <w:textAlignment w:val="center"/>
              <w:rPr>
                <w:rFonts w:ascii="宋体" w:hAnsi="宋体" w:eastAsia="宋体" w:cs="宋体"/>
                <w:szCs w:val="21"/>
              </w:rPr>
            </w:pPr>
            <w:r>
              <w:rPr>
                <w:rFonts w:hint="eastAsia" w:ascii="宋体" w:hAnsi="宋体" w:eastAsia="宋体" w:cs="宋体"/>
                <w:szCs w:val="21"/>
              </w:rPr>
              <w:t>随访路径配置</w:t>
            </w:r>
          </w:p>
        </w:tc>
        <w:tc>
          <w:tcPr>
            <w:tcW w:w="4819" w:type="dxa"/>
            <w:tcBorders>
              <w:tl2br w:val="nil"/>
              <w:tr2bl w:val="nil"/>
            </w:tcBorders>
            <w:vAlign w:val="center"/>
          </w:tcPr>
          <w:p w14:paraId="5F821B0F">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系统支持随访/量表/干预/监测等。</w:t>
            </w:r>
          </w:p>
          <w:p w14:paraId="6E50E890">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循证医学指导是疾病管理的理论依据，是设置疾病管理路径的参考。</w:t>
            </w:r>
          </w:p>
          <w:p w14:paraId="16270036">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1.管理路径配置：基于循证医学配置的管理路径；</w:t>
            </w:r>
          </w:p>
          <w:p w14:paraId="51AB787C">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2.支持干预方案配置；</w:t>
            </w:r>
          </w:p>
          <w:p w14:paraId="5151F74A">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3.支持健康教育配置：配置健康教育资料；</w:t>
            </w:r>
          </w:p>
          <w:p w14:paraId="24E31A2C">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4.支持健康百科管理资料配置。</w:t>
            </w:r>
          </w:p>
        </w:tc>
      </w:tr>
      <w:tr w14:paraId="156B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293" w:type="dxa"/>
            <w:vMerge w:val="continue"/>
            <w:tcBorders>
              <w:tl2br w:val="nil"/>
              <w:tr2bl w:val="nil"/>
            </w:tcBorders>
            <w:vAlign w:val="center"/>
          </w:tcPr>
          <w:p w14:paraId="314A895A">
            <w:pPr>
              <w:spacing w:line="240" w:lineRule="auto"/>
              <w:jc w:val="left"/>
              <w:textAlignment w:val="center"/>
              <w:rPr>
                <w:rFonts w:ascii="宋体" w:hAnsi="宋体" w:eastAsia="宋体" w:cs="宋体"/>
                <w:szCs w:val="21"/>
                <w:lang w:bidi="ar"/>
              </w:rPr>
            </w:pPr>
          </w:p>
        </w:tc>
        <w:tc>
          <w:tcPr>
            <w:tcW w:w="1559" w:type="dxa"/>
            <w:vMerge w:val="continue"/>
            <w:tcBorders>
              <w:tl2br w:val="nil"/>
              <w:tr2bl w:val="nil"/>
            </w:tcBorders>
          </w:tcPr>
          <w:p w14:paraId="6DEAC481">
            <w:pPr>
              <w:spacing w:line="240" w:lineRule="auto"/>
              <w:textAlignment w:val="center"/>
              <w:rPr>
                <w:rFonts w:ascii="宋体" w:hAnsi="宋体" w:eastAsia="宋体" w:cs="宋体"/>
                <w:szCs w:val="21"/>
              </w:rPr>
            </w:pPr>
          </w:p>
        </w:tc>
        <w:tc>
          <w:tcPr>
            <w:tcW w:w="1560" w:type="dxa"/>
            <w:tcBorders>
              <w:tl2br w:val="nil"/>
              <w:tr2bl w:val="nil"/>
            </w:tcBorders>
            <w:vAlign w:val="center"/>
          </w:tcPr>
          <w:p w14:paraId="5D9CCF81">
            <w:pPr>
              <w:spacing w:line="240" w:lineRule="auto"/>
              <w:textAlignment w:val="center"/>
              <w:rPr>
                <w:rFonts w:ascii="宋体" w:hAnsi="宋体" w:eastAsia="宋体" w:cs="宋体"/>
                <w:szCs w:val="21"/>
              </w:rPr>
            </w:pPr>
            <w:r>
              <w:rPr>
                <w:rFonts w:hint="eastAsia" w:ascii="宋体" w:hAnsi="宋体" w:eastAsia="宋体" w:cs="宋体"/>
                <w:szCs w:val="21"/>
              </w:rPr>
              <w:t>标签管理</w:t>
            </w:r>
          </w:p>
        </w:tc>
        <w:tc>
          <w:tcPr>
            <w:tcW w:w="4819" w:type="dxa"/>
            <w:tcBorders>
              <w:tl2br w:val="nil"/>
              <w:tr2bl w:val="nil"/>
            </w:tcBorders>
            <w:vAlign w:val="center"/>
          </w:tcPr>
          <w:p w14:paraId="43CD3B09">
            <w:pPr>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1.标签列表：一般需要权限用户操作；</w:t>
            </w:r>
          </w:p>
          <w:p w14:paraId="0F3A5DD2">
            <w:pPr>
              <w:spacing w:line="240" w:lineRule="auto"/>
              <w:jc w:val="left"/>
              <w:textAlignment w:val="center"/>
            </w:pPr>
            <w:r>
              <w:rPr>
                <w:rFonts w:hint="eastAsia" w:ascii="宋体" w:hAnsi="宋体" w:eastAsia="宋体" w:cs="宋体"/>
                <w:szCs w:val="21"/>
                <w:lang w:bidi="ar"/>
              </w:rPr>
              <w:t>2.支持自定义标签（病种专属分层分类）。</w:t>
            </w:r>
          </w:p>
        </w:tc>
      </w:tr>
      <w:tr w14:paraId="0DA6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293" w:type="dxa"/>
            <w:vAlign w:val="center"/>
          </w:tcPr>
          <w:p w14:paraId="1B4100ED">
            <w:pPr>
              <w:spacing w:line="240" w:lineRule="auto"/>
              <w:textAlignment w:val="center"/>
              <w:rPr>
                <w:rFonts w:ascii="宋体" w:hAnsi="宋体" w:eastAsia="宋体" w:cs="宋体"/>
                <w:szCs w:val="21"/>
                <w:lang w:bidi="ar"/>
              </w:rPr>
            </w:pPr>
            <w:r>
              <w:rPr>
                <w:rFonts w:hint="eastAsia" w:ascii="宋体" w:hAnsi="宋体" w:eastAsia="宋体" w:cs="宋体"/>
                <w:szCs w:val="21"/>
                <w:lang w:bidi="ar"/>
              </w:rPr>
              <w:t>日常运维</w:t>
            </w:r>
          </w:p>
        </w:tc>
        <w:tc>
          <w:tcPr>
            <w:tcW w:w="1559" w:type="dxa"/>
          </w:tcPr>
          <w:p w14:paraId="6BFDBFA5">
            <w:pPr>
              <w:widowControl/>
              <w:spacing w:line="240" w:lineRule="auto"/>
              <w:textAlignment w:val="center"/>
              <w:rPr>
                <w:rFonts w:ascii="宋体" w:hAnsi="宋体" w:eastAsia="宋体" w:cs="宋体"/>
                <w:szCs w:val="21"/>
                <w:lang w:bidi="ar"/>
              </w:rPr>
            </w:pPr>
          </w:p>
        </w:tc>
        <w:tc>
          <w:tcPr>
            <w:tcW w:w="1560" w:type="dxa"/>
            <w:vAlign w:val="center"/>
          </w:tcPr>
          <w:p w14:paraId="0D854B2B">
            <w:pPr>
              <w:widowControl/>
              <w:spacing w:line="240" w:lineRule="auto"/>
              <w:textAlignment w:val="center"/>
              <w:rPr>
                <w:rFonts w:ascii="宋体" w:hAnsi="宋体" w:eastAsia="宋体" w:cs="宋体"/>
                <w:szCs w:val="21"/>
              </w:rPr>
            </w:pPr>
            <w:r>
              <w:rPr>
                <w:rFonts w:hint="eastAsia" w:ascii="宋体" w:hAnsi="宋体" w:eastAsia="宋体" w:cs="宋体"/>
                <w:szCs w:val="21"/>
                <w:lang w:bidi="ar"/>
              </w:rPr>
              <w:t>日常运维</w:t>
            </w:r>
          </w:p>
        </w:tc>
        <w:tc>
          <w:tcPr>
            <w:tcW w:w="4819" w:type="dxa"/>
          </w:tcPr>
          <w:p w14:paraId="7FCF8CCB">
            <w:pPr>
              <w:widowControl/>
              <w:spacing w:line="240" w:lineRule="auto"/>
              <w:jc w:val="left"/>
              <w:textAlignment w:val="center"/>
              <w:rPr>
                <w:rFonts w:ascii="宋体" w:hAnsi="宋体" w:eastAsia="宋体" w:cs="宋体"/>
                <w:szCs w:val="21"/>
                <w:lang w:bidi="ar"/>
              </w:rPr>
            </w:pPr>
            <w:r>
              <w:rPr>
                <w:rFonts w:hint="eastAsia" w:ascii="宋体" w:hAnsi="宋体" w:eastAsia="宋体" w:cs="宋体"/>
                <w:szCs w:val="21"/>
                <w:lang w:bidi="ar"/>
              </w:rPr>
              <w:t>协助在平台上创建项目；协助用户管理、平台使用培训、用户日常使用问题解决等。</w:t>
            </w:r>
          </w:p>
        </w:tc>
      </w:tr>
    </w:tbl>
    <w:p w14:paraId="4EB501D2">
      <w:pPr>
        <w:widowControl/>
        <w:rPr>
          <w:rFonts w:ascii="宋体" w:hAnsi="宋体" w:eastAsia="宋体" w:cs="宋体"/>
          <w:b/>
          <w:szCs w:val="21"/>
        </w:rPr>
      </w:pPr>
    </w:p>
    <w:p w14:paraId="6D26C0A5">
      <w:pPr>
        <w:widowControl/>
        <w:rPr>
          <w:rFonts w:ascii="宋体" w:hAnsi="宋体" w:eastAsia="宋体" w:cs="宋体"/>
          <w:b/>
          <w:szCs w:val="21"/>
        </w:rPr>
      </w:pPr>
      <w:r>
        <w:rPr>
          <w:rFonts w:hint="eastAsia" w:ascii="宋体" w:hAnsi="宋体" w:eastAsia="宋体" w:cs="宋体"/>
          <w:b/>
          <w:szCs w:val="21"/>
        </w:rPr>
        <w:t>三、商务要求</w:t>
      </w:r>
    </w:p>
    <w:p w14:paraId="05C22F94">
      <w:pPr>
        <w:ind w:firstLine="426"/>
        <w:rPr>
          <w:rFonts w:ascii="宋体" w:hAnsi="宋体" w:eastAsia="宋体" w:cs="宋体"/>
          <w:szCs w:val="21"/>
        </w:rPr>
      </w:pPr>
      <w:r>
        <w:rPr>
          <w:rFonts w:hint="eastAsia" w:ascii="宋体" w:hAnsi="宋体" w:eastAsia="宋体" w:cs="宋体"/>
          <w:b/>
          <w:szCs w:val="21"/>
        </w:rPr>
        <w:t>（一）售后服务要求：</w:t>
      </w:r>
    </w:p>
    <w:p w14:paraId="6A46F76B">
      <w:pPr>
        <w:ind w:firstLine="480"/>
        <w:rPr>
          <w:rFonts w:ascii="宋体" w:hAnsi="宋体" w:eastAsia="宋体" w:cs="宋体"/>
          <w:szCs w:val="21"/>
        </w:rPr>
      </w:pPr>
      <w:r>
        <w:rPr>
          <w:rFonts w:hint="eastAsia" w:ascii="宋体" w:hAnsi="宋体" w:eastAsia="宋体" w:cs="宋体"/>
          <w:szCs w:val="21"/>
        </w:rPr>
        <w:t>（1）中标供应商为用户方提供不少于一年的免费维护服务和技术服务支持，免费维护包括系统维护、功能完善、性能提升、故障检测、不超出系统功能范围的二次开发，并保证中标供应商所开发的软件正常运行。保修期和系统技术自双方代表在合同验收签字之日起计算。保修期内所发生的一切费用包括系统技术支持，系统维护或升级，人员交通，差旅服务费用全部包含在中标价内。免费服务期满后，中标供应商必须承诺在法定工作时间内，可以提供免费的技术指导和咨询，免费维护期后，项目软件系统的每年维护费不得高于项目软件价格的10%。</w:t>
      </w:r>
    </w:p>
    <w:p w14:paraId="1D2EF5DA">
      <w:pPr>
        <w:ind w:firstLine="420"/>
        <w:rPr>
          <w:rFonts w:ascii="宋体" w:hAnsi="宋体" w:eastAsia="宋体" w:cs="宋体"/>
          <w:szCs w:val="21"/>
        </w:rPr>
      </w:pPr>
      <w:r>
        <w:rPr>
          <w:rFonts w:hint="eastAsia" w:ascii="宋体" w:hAnsi="宋体" w:eastAsia="宋体" w:cs="宋体"/>
          <w:szCs w:val="21"/>
        </w:rPr>
        <w:t>（2）维保期内，中标供应商向用户方提供同版本的免费软件升级和维护服务。</w:t>
      </w:r>
    </w:p>
    <w:p w14:paraId="0AB569B1">
      <w:pPr>
        <w:pStyle w:val="43"/>
        <w:tabs>
          <w:tab w:val="left" w:pos="840"/>
        </w:tabs>
        <w:spacing w:line="360" w:lineRule="auto"/>
        <w:ind w:firstLine="420" w:firstLineChars="200"/>
        <w:rPr>
          <w:rFonts w:ascii="宋体" w:hAnsi="宋体" w:cs="宋体"/>
          <w:szCs w:val="21"/>
        </w:rPr>
      </w:pPr>
      <w:r>
        <w:rPr>
          <w:rFonts w:hint="eastAsia" w:ascii="宋体" w:hAnsi="宋体" w:cs="宋体"/>
          <w:szCs w:val="21"/>
        </w:rPr>
        <w:t>（3）合同范围及免费运维周期内，乙方建设内容需要配合甲方进行相关评审工作，包括不限于电子病历应用水平分级评价、国家医疗健康信息互联互通标准化成熟度测试、智慧服务评审、智慧管理评审、安全等保测评等。</w:t>
      </w:r>
    </w:p>
    <w:p w14:paraId="3DAD8158">
      <w:pPr>
        <w:pStyle w:val="43"/>
        <w:tabs>
          <w:tab w:val="left" w:pos="840"/>
        </w:tabs>
        <w:spacing w:line="360" w:lineRule="auto"/>
        <w:ind w:firstLine="420" w:firstLineChars="200"/>
        <w:rPr>
          <w:rFonts w:ascii="宋体" w:hAnsi="宋体" w:cs="宋体"/>
          <w:szCs w:val="21"/>
        </w:rPr>
      </w:pPr>
      <w:r>
        <w:rPr>
          <w:rFonts w:hint="eastAsia" w:ascii="宋体" w:hAnsi="宋体" w:cs="宋体"/>
          <w:szCs w:val="21"/>
        </w:rPr>
        <w:t>（4）合同范围及免费运维周期内，乙方需要配合医院需求完成合同建设内容的政策性和适配性修改，完成旧数据的迁移工作，实现用户对旧数据的查询，技术问题由乙方自行解决。</w:t>
      </w:r>
    </w:p>
    <w:p w14:paraId="40454C43">
      <w:pPr>
        <w:pStyle w:val="43"/>
        <w:tabs>
          <w:tab w:val="left" w:pos="840"/>
        </w:tabs>
        <w:spacing w:line="360" w:lineRule="auto"/>
        <w:ind w:firstLine="420" w:firstLineChars="200"/>
        <w:rPr>
          <w:rFonts w:ascii="宋体" w:hAnsi="宋体" w:cs="宋体"/>
          <w:szCs w:val="21"/>
        </w:rPr>
      </w:pPr>
      <w:r>
        <w:rPr>
          <w:rFonts w:hint="eastAsia" w:ascii="宋体" w:hAnsi="宋体" w:cs="宋体"/>
          <w:szCs w:val="21"/>
        </w:rPr>
        <w:t>（5）乙方需要根据医院需求，完成系统和医院平台的对接和数据的接入，提供数据库说明书。</w:t>
      </w:r>
    </w:p>
    <w:p w14:paraId="5E52542B">
      <w:pPr>
        <w:ind w:firstLine="420" w:firstLineChars="200"/>
        <w:rPr>
          <w:rFonts w:ascii="宋体" w:hAnsi="宋体" w:eastAsia="宋体" w:cs="宋体"/>
          <w:szCs w:val="21"/>
        </w:rPr>
      </w:pPr>
      <w:r>
        <w:rPr>
          <w:rFonts w:hint="eastAsia" w:ascii="宋体" w:hAnsi="宋体" w:eastAsia="宋体" w:cs="宋体"/>
          <w:szCs w:val="21"/>
        </w:rPr>
        <w:t>（6）系统故障的响应时间：投标人必须提供7*24小时技术支持热线电话（固话，手机）。当发生故障时，自报障时起算，1小时内响应，若远程维护无法解决，中标供应商应在2小时内安排人员前往现场处理故障。</w:t>
      </w:r>
    </w:p>
    <w:p w14:paraId="501B8A49">
      <w:pPr>
        <w:ind w:firstLine="420"/>
        <w:rPr>
          <w:rFonts w:ascii="宋体" w:hAnsi="宋体" w:eastAsia="宋体" w:cs="宋体"/>
          <w:szCs w:val="21"/>
        </w:rPr>
      </w:pPr>
      <w:r>
        <w:rPr>
          <w:rFonts w:hint="eastAsia" w:ascii="宋体" w:hAnsi="宋体" w:eastAsia="宋体" w:cs="宋体"/>
          <w:b/>
          <w:szCs w:val="21"/>
        </w:rPr>
        <w:t>（二）培训要求</w:t>
      </w:r>
    </w:p>
    <w:p w14:paraId="540A615A">
      <w:pPr>
        <w:ind w:firstLine="420"/>
        <w:rPr>
          <w:rFonts w:ascii="宋体" w:hAnsi="宋体" w:eastAsia="宋体" w:cs="宋体"/>
          <w:szCs w:val="21"/>
        </w:rPr>
      </w:pPr>
      <w:r>
        <w:rPr>
          <w:rFonts w:hint="eastAsia" w:ascii="宋体" w:hAnsi="宋体" w:eastAsia="宋体" w:cs="宋体"/>
          <w:szCs w:val="21"/>
        </w:rPr>
        <w:t>（1）所提供的培训课程表随投标文件一起提交。</w:t>
      </w:r>
    </w:p>
    <w:p w14:paraId="4C7A1010">
      <w:pPr>
        <w:ind w:firstLine="420"/>
        <w:rPr>
          <w:rFonts w:ascii="宋体" w:hAnsi="宋体" w:eastAsia="宋体" w:cs="宋体"/>
          <w:szCs w:val="21"/>
        </w:rPr>
      </w:pPr>
      <w:r>
        <w:rPr>
          <w:rFonts w:hint="eastAsia" w:ascii="宋体" w:hAnsi="宋体" w:eastAsia="宋体" w:cs="宋体"/>
          <w:szCs w:val="21"/>
        </w:rPr>
        <w:t>（2）培训内容与课程要求：对系统的使用，操作，维护进行培训，并提供安装使用维护说明书，以确保采购人能够对系统有足够的了解和熟悉，能够独立进行系统的日常维护和管理。培训所需一切资料由中标商提供。</w:t>
      </w:r>
    </w:p>
    <w:sectPr>
      <w:pgSz w:w="11906" w:h="16838"/>
      <w:pgMar w:top="1440" w:right="1800" w:bottom="1118"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66C00"/>
    <w:multiLevelType w:val="multilevel"/>
    <w:tmpl w:val="47F66C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6E6F60E5"/>
    <w:multiLevelType w:val="multilevel"/>
    <w:tmpl w:val="6E6F60E5"/>
    <w:lvl w:ilvl="0" w:tentative="0">
      <w:start w:val="1"/>
      <w:numFmt w:val="decimal"/>
      <w:pStyle w:val="34"/>
      <w:suff w:val="space"/>
      <w:lvlText w:val="%1"/>
      <w:lvlJc w:val="left"/>
      <w:pPr>
        <w:ind w:left="0" w:firstLine="0"/>
      </w:pPr>
      <w:rPr>
        <w:rFonts w:hint="eastAsia"/>
      </w:rPr>
    </w:lvl>
    <w:lvl w:ilvl="1" w:tentative="0">
      <w:start w:val="1"/>
      <w:numFmt w:val="decimal"/>
      <w:pStyle w:val="35"/>
      <w:suff w:val="space"/>
      <w:lvlText w:val="%1.%2"/>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37"/>
      <w:suff w:val="space"/>
      <w:lvlText w:val="%1.%2.%3"/>
      <w:lvlJc w:val="left"/>
      <w:pPr>
        <w:ind w:left="0" w:firstLine="0"/>
      </w:pPr>
      <w:rPr>
        <w:rFonts w:hint="eastAsia" w:ascii="Times New Roman" w:hAnsi="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38"/>
      <w:suff w:val="space"/>
      <w:lvlText w:val="%1.%2.%3.%4"/>
      <w:lvlJc w:val="left"/>
      <w:pPr>
        <w:ind w:left="0" w:firstLine="0"/>
      </w:pPr>
      <w:rPr>
        <w:rFonts w:hint="eastAsia"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39"/>
      <w:suff w:val="space"/>
      <w:lvlText w:val="%1.%2.%3.%4.%5"/>
      <w:lvlJc w:val="left"/>
      <w:pPr>
        <w:ind w:left="0" w:firstLine="0"/>
      </w:pPr>
      <w:rPr>
        <w:rFonts w:hint="eastAsia"/>
      </w:rPr>
    </w:lvl>
    <w:lvl w:ilvl="5" w:tentative="0">
      <w:start w:val="1"/>
      <w:numFmt w:val="decimal"/>
      <w:pStyle w:val="40"/>
      <w:suff w:val="space"/>
      <w:lvlText w:val="%1.%2.%3.%4.%5.%6"/>
      <w:lvlJc w:val="left"/>
      <w:pPr>
        <w:ind w:left="0" w:firstLine="0"/>
      </w:pPr>
      <w:rPr>
        <w:rFonts w:hint="eastAsia" w:ascii="Times New Roman" w:hAnsi="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pStyle w:val="41"/>
      <w:suff w:val="space"/>
      <w:lvlText w:val="%1.%2.%3.%4.%5.%6.%7"/>
      <w:lvlJc w:val="left"/>
      <w:pPr>
        <w:ind w:left="0" w:firstLine="0"/>
      </w:pPr>
      <w:rPr>
        <w:rFonts w:hint="eastAsia"/>
      </w:rPr>
    </w:lvl>
    <w:lvl w:ilvl="7" w:tentative="0">
      <w:start w:val="1"/>
      <w:numFmt w:val="decimal"/>
      <w:pStyle w:val="42"/>
      <w:suff w:val="space"/>
      <w:lvlText w:val="%1.%2.%3.%4.%5.%6.%7.%8"/>
      <w:lvlJc w:val="left"/>
      <w:pPr>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NmE2ZmE5YzMyNWEwMzYyNTM3Yjg0ZDBjMzA2YWYifQ=="/>
  </w:docVars>
  <w:rsids>
    <w:rsidRoot w:val="00D139A6"/>
    <w:rsid w:val="000105BD"/>
    <w:rsid w:val="00033026"/>
    <w:rsid w:val="00040653"/>
    <w:rsid w:val="00066F6D"/>
    <w:rsid w:val="000A09F9"/>
    <w:rsid w:val="000A3A69"/>
    <w:rsid w:val="00134284"/>
    <w:rsid w:val="001E120A"/>
    <w:rsid w:val="001F7351"/>
    <w:rsid w:val="00284528"/>
    <w:rsid w:val="002E0312"/>
    <w:rsid w:val="00344432"/>
    <w:rsid w:val="00370C79"/>
    <w:rsid w:val="00373D7C"/>
    <w:rsid w:val="003E73D1"/>
    <w:rsid w:val="00447CF2"/>
    <w:rsid w:val="004C5B0A"/>
    <w:rsid w:val="004D6343"/>
    <w:rsid w:val="00520738"/>
    <w:rsid w:val="00553178"/>
    <w:rsid w:val="005B0FB6"/>
    <w:rsid w:val="006161FB"/>
    <w:rsid w:val="00645381"/>
    <w:rsid w:val="006601F0"/>
    <w:rsid w:val="00692D4D"/>
    <w:rsid w:val="00693116"/>
    <w:rsid w:val="006A3477"/>
    <w:rsid w:val="006D63E4"/>
    <w:rsid w:val="006D7210"/>
    <w:rsid w:val="006E77B4"/>
    <w:rsid w:val="00706111"/>
    <w:rsid w:val="00740AAD"/>
    <w:rsid w:val="00773A05"/>
    <w:rsid w:val="00784325"/>
    <w:rsid w:val="00792E59"/>
    <w:rsid w:val="007B4385"/>
    <w:rsid w:val="008012FD"/>
    <w:rsid w:val="00813396"/>
    <w:rsid w:val="00844770"/>
    <w:rsid w:val="008E54F1"/>
    <w:rsid w:val="0090063F"/>
    <w:rsid w:val="00926747"/>
    <w:rsid w:val="009E29E1"/>
    <w:rsid w:val="00A14162"/>
    <w:rsid w:val="00A14DAD"/>
    <w:rsid w:val="00A733C1"/>
    <w:rsid w:val="00A757B2"/>
    <w:rsid w:val="00A75E41"/>
    <w:rsid w:val="00B736FE"/>
    <w:rsid w:val="00B81A44"/>
    <w:rsid w:val="00BA72CC"/>
    <w:rsid w:val="00C06FE7"/>
    <w:rsid w:val="00D0485B"/>
    <w:rsid w:val="00D139A6"/>
    <w:rsid w:val="00DC7D80"/>
    <w:rsid w:val="00DE58C9"/>
    <w:rsid w:val="00DF40FE"/>
    <w:rsid w:val="00E11D8B"/>
    <w:rsid w:val="00E72660"/>
    <w:rsid w:val="00E87558"/>
    <w:rsid w:val="00EA6CEE"/>
    <w:rsid w:val="00EC5BEB"/>
    <w:rsid w:val="00F0741D"/>
    <w:rsid w:val="00F11DDB"/>
    <w:rsid w:val="00F42F1E"/>
    <w:rsid w:val="00F6064D"/>
    <w:rsid w:val="00F6793C"/>
    <w:rsid w:val="00FB11D8"/>
    <w:rsid w:val="081B61A4"/>
    <w:rsid w:val="0DEB1EA5"/>
    <w:rsid w:val="186C638D"/>
    <w:rsid w:val="1AFD2812"/>
    <w:rsid w:val="1F664E52"/>
    <w:rsid w:val="2307097D"/>
    <w:rsid w:val="2764699D"/>
    <w:rsid w:val="27A76FA7"/>
    <w:rsid w:val="337FC488"/>
    <w:rsid w:val="360963BC"/>
    <w:rsid w:val="3887305D"/>
    <w:rsid w:val="3CB13F3E"/>
    <w:rsid w:val="3D197528"/>
    <w:rsid w:val="3E1E245F"/>
    <w:rsid w:val="463E3B5B"/>
    <w:rsid w:val="4AEC5318"/>
    <w:rsid w:val="4B1F2D9D"/>
    <w:rsid w:val="4CD6771E"/>
    <w:rsid w:val="52F73609"/>
    <w:rsid w:val="560449A0"/>
    <w:rsid w:val="5D772A34"/>
    <w:rsid w:val="5FBD3A0A"/>
    <w:rsid w:val="6004703F"/>
    <w:rsid w:val="6362371A"/>
    <w:rsid w:val="63AB7B7A"/>
    <w:rsid w:val="63B8092D"/>
    <w:rsid w:val="64A000B9"/>
    <w:rsid w:val="66422BD0"/>
    <w:rsid w:val="6C407FC9"/>
    <w:rsid w:val="6E447A62"/>
    <w:rsid w:val="724408B0"/>
    <w:rsid w:val="72916C3D"/>
    <w:rsid w:val="76F0760B"/>
    <w:rsid w:val="79CB1403"/>
    <w:rsid w:val="7B4E2BF5"/>
    <w:rsid w:val="7DA53FFF"/>
    <w:rsid w:val="7EACFEC4"/>
    <w:rsid w:val="7FFF6BB0"/>
    <w:rsid w:val="B65F4974"/>
    <w:rsid w:val="EDFED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微软雅黑" w:cs="Times New Roman"/>
      <w:kern w:val="2"/>
      <w:sz w:val="21"/>
      <w:szCs w:val="24"/>
      <w:lang w:val="en-US" w:eastAsia="zh-CN" w:bidi="ar-SA"/>
    </w:rPr>
  </w:style>
  <w:style w:type="paragraph" w:styleId="3">
    <w:name w:val="heading 1"/>
    <w:basedOn w:val="1"/>
    <w:next w:val="1"/>
    <w:qFormat/>
    <w:uiPriority w:val="0"/>
    <w:pPr>
      <w:keepNext/>
      <w:keepLines/>
      <w:tabs>
        <w:tab w:val="left" w:pos="432"/>
      </w:tabs>
      <w:spacing w:before="340" w:after="330" w:line="576" w:lineRule="auto"/>
      <w:ind w:left="432" w:hanging="432"/>
      <w:outlineLvl w:val="0"/>
    </w:pPr>
    <w:rPr>
      <w:b/>
      <w:kern w:val="44"/>
      <w:sz w:val="44"/>
    </w:rPr>
  </w:style>
  <w:style w:type="paragraph" w:styleId="4">
    <w:name w:val="heading 2"/>
    <w:basedOn w:val="1"/>
    <w:next w:val="1"/>
    <w:qFormat/>
    <w:uiPriority w:val="0"/>
    <w:pPr>
      <w:keepNext/>
      <w:keepLines/>
      <w:tabs>
        <w:tab w:val="left" w:pos="576"/>
      </w:tabs>
      <w:spacing w:before="260" w:after="260" w:line="413" w:lineRule="auto"/>
      <w:ind w:left="576" w:hanging="576"/>
      <w:outlineLvl w:val="1"/>
    </w:pPr>
    <w:rPr>
      <w:rFonts w:ascii="Arial" w:hAnsi="Arial" w:eastAsia="黑体"/>
      <w:b/>
      <w:sz w:val="32"/>
    </w:rPr>
  </w:style>
  <w:style w:type="paragraph" w:styleId="5">
    <w:name w:val="heading 3"/>
    <w:basedOn w:val="1"/>
    <w:next w:val="1"/>
    <w:link w:val="19"/>
    <w:qFormat/>
    <w:uiPriority w:val="0"/>
    <w:pPr>
      <w:keepNext/>
      <w:widowControl/>
      <w:tabs>
        <w:tab w:val="left" w:pos="432"/>
        <w:tab w:val="left" w:pos="720"/>
      </w:tabs>
      <w:spacing w:beforeLines="100" w:afterLines="100"/>
      <w:ind w:left="720" w:hanging="720"/>
      <w:outlineLvl w:val="2"/>
    </w:pPr>
    <w:rPr>
      <w:rFonts w:ascii="Book Antiqua" w:hAnsi="Book Antiqua"/>
      <w:b/>
      <w:sz w:val="28"/>
      <w:lang w:eastAsia="en-US"/>
    </w:rPr>
  </w:style>
  <w:style w:type="paragraph" w:styleId="6">
    <w:name w:val="heading 4"/>
    <w:basedOn w:val="1"/>
    <w:next w:val="1"/>
    <w:link w:val="20"/>
    <w:qFormat/>
    <w:uiPriority w:val="0"/>
    <w:pPr>
      <w:keepNext/>
      <w:widowControl/>
      <w:tabs>
        <w:tab w:val="left" w:pos="864"/>
      </w:tabs>
      <w:ind w:left="2268" w:hanging="2268"/>
      <w:outlineLvl w:val="3"/>
    </w:pPr>
    <w:rPr>
      <w:b/>
      <w:bCs/>
      <w:sz w:val="24"/>
      <w:szCs w:val="28"/>
      <w:lang w:eastAsia="en-US"/>
    </w:rPr>
  </w:style>
  <w:style w:type="paragraph" w:styleId="7">
    <w:name w:val="heading 5"/>
    <w:basedOn w:val="1"/>
    <w:next w:val="1"/>
    <w:qFormat/>
    <w:uiPriority w:val="0"/>
    <w:pPr>
      <w:keepNext/>
      <w:keepLines/>
      <w:tabs>
        <w:tab w:val="left" w:pos="1008"/>
      </w:tabs>
      <w:spacing w:before="280" w:after="290" w:line="372" w:lineRule="auto"/>
      <w:ind w:left="1008" w:hanging="1008"/>
      <w:outlineLvl w:val="4"/>
    </w:pPr>
    <w:rPr>
      <w:b/>
      <w:sz w:val="28"/>
    </w:rPr>
  </w:style>
  <w:style w:type="paragraph" w:styleId="8">
    <w:name w:val="heading 6"/>
    <w:basedOn w:val="1"/>
    <w:next w:val="1"/>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style>
  <w:style w:type="paragraph" w:styleId="12">
    <w:name w:val="Body Text"/>
    <w:basedOn w:val="1"/>
    <w:next w:val="13"/>
    <w:qFormat/>
    <w:uiPriority w:val="0"/>
    <w:pPr>
      <w:spacing w:after="120"/>
    </w:pPr>
  </w:style>
  <w:style w:type="paragraph" w:styleId="13">
    <w:name w:val="Body Text 2"/>
    <w:basedOn w:val="1"/>
    <w:semiHidden/>
    <w:unhideWhenUsed/>
    <w:qFormat/>
    <w:uiPriority w:val="99"/>
    <w:pPr>
      <w:spacing w:after="120" w:line="480" w:lineRule="auto"/>
    </w:pPr>
  </w:style>
  <w:style w:type="paragraph" w:styleId="14">
    <w:name w:val="footer"/>
    <w:basedOn w:val="1"/>
    <w:link w:val="32"/>
    <w:qFormat/>
    <w:uiPriority w:val="0"/>
    <w:pPr>
      <w:tabs>
        <w:tab w:val="center" w:pos="4153"/>
        <w:tab w:val="right" w:pos="8306"/>
      </w:tabs>
      <w:spacing w:line="240" w:lineRule="auto"/>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pacing w:line="240" w:lineRule="auto"/>
      <w:jc w:val="center"/>
    </w:pPr>
    <w:rPr>
      <w:sz w:val="18"/>
      <w:szCs w:val="18"/>
    </w:rPr>
  </w:style>
  <w:style w:type="character" w:styleId="18">
    <w:name w:val="FollowedHyperlink"/>
    <w:qFormat/>
    <w:uiPriority w:val="0"/>
    <w:rPr>
      <w:color w:val="800080"/>
      <w:u w:val="single"/>
    </w:rPr>
  </w:style>
  <w:style w:type="character" w:customStyle="1" w:styleId="19">
    <w:name w:val="标题 3 Char"/>
    <w:basedOn w:val="17"/>
    <w:link w:val="5"/>
    <w:qFormat/>
    <w:uiPriority w:val="0"/>
    <w:rPr>
      <w:rFonts w:ascii="Book Antiqua" w:hAnsi="Book Antiqua" w:eastAsia="微软雅黑"/>
      <w:b/>
      <w:kern w:val="2"/>
      <w:sz w:val="28"/>
      <w:szCs w:val="24"/>
      <w:lang w:eastAsia="en-US"/>
    </w:rPr>
  </w:style>
  <w:style w:type="character" w:customStyle="1" w:styleId="20">
    <w:name w:val="标题 4 Char"/>
    <w:basedOn w:val="17"/>
    <w:link w:val="6"/>
    <w:qFormat/>
    <w:uiPriority w:val="0"/>
    <w:rPr>
      <w:rFonts w:eastAsia="微软雅黑"/>
      <w:b/>
      <w:bCs/>
      <w:kern w:val="2"/>
      <w:sz w:val="24"/>
      <w:szCs w:val="28"/>
      <w:lang w:eastAsia="en-US"/>
    </w:rPr>
  </w:style>
  <w:style w:type="character" w:customStyle="1" w:styleId="21">
    <w:name w:val="font41"/>
    <w:basedOn w:val="17"/>
    <w:qFormat/>
    <w:uiPriority w:val="0"/>
    <w:rPr>
      <w:rFonts w:hint="eastAsia" w:ascii="宋体" w:hAnsi="宋体" w:eastAsia="宋体" w:cs="宋体"/>
      <w:color w:val="000000"/>
      <w:sz w:val="24"/>
      <w:szCs w:val="24"/>
      <w:u w:val="none"/>
    </w:rPr>
  </w:style>
  <w:style w:type="character" w:customStyle="1" w:styleId="22">
    <w:name w:val="font31"/>
    <w:basedOn w:val="17"/>
    <w:qFormat/>
    <w:uiPriority w:val="0"/>
    <w:rPr>
      <w:rFonts w:hint="default" w:ascii="Times New Roman" w:hAnsi="Times New Roman" w:cs="Times New Roman"/>
      <w:color w:val="000000"/>
      <w:sz w:val="24"/>
      <w:szCs w:val="24"/>
      <w:u w:val="none"/>
    </w:rPr>
  </w:style>
  <w:style w:type="character" w:customStyle="1" w:styleId="23">
    <w:name w:val="font51"/>
    <w:basedOn w:val="17"/>
    <w:qFormat/>
    <w:uiPriority w:val="0"/>
    <w:rPr>
      <w:rFonts w:ascii="Calibri" w:hAnsi="Calibri" w:cs="Calibri"/>
      <w:color w:val="000000"/>
      <w:sz w:val="24"/>
      <w:szCs w:val="24"/>
      <w:u w:val="none"/>
    </w:rPr>
  </w:style>
  <w:style w:type="character" w:customStyle="1" w:styleId="24">
    <w:name w:val="font112"/>
    <w:basedOn w:val="17"/>
    <w:qFormat/>
    <w:uiPriority w:val="0"/>
    <w:rPr>
      <w:rFonts w:hint="eastAsia" w:ascii="宋体" w:hAnsi="宋体" w:eastAsia="宋体" w:cs="宋体"/>
      <w:strike/>
      <w:color w:val="FFC000"/>
      <w:sz w:val="24"/>
      <w:szCs w:val="24"/>
    </w:rPr>
  </w:style>
  <w:style w:type="character" w:customStyle="1" w:styleId="25">
    <w:name w:val="font21"/>
    <w:basedOn w:val="17"/>
    <w:qFormat/>
    <w:uiPriority w:val="0"/>
    <w:rPr>
      <w:rFonts w:hint="eastAsia" w:ascii="宋体" w:hAnsi="宋体" w:eastAsia="宋体" w:cs="宋体"/>
      <w:color w:val="000000"/>
      <w:sz w:val="24"/>
      <w:szCs w:val="24"/>
      <w:u w:val="none"/>
    </w:rPr>
  </w:style>
  <w:style w:type="character" w:customStyle="1" w:styleId="26">
    <w:name w:val="font61"/>
    <w:basedOn w:val="17"/>
    <w:qFormat/>
    <w:uiPriority w:val="0"/>
    <w:rPr>
      <w:rFonts w:hint="default" w:ascii="Segoe UI Symbol" w:hAnsi="Segoe UI Symbol" w:eastAsia="Segoe UI Symbol" w:cs="Segoe UI Symbol"/>
      <w:color w:val="000000"/>
      <w:sz w:val="24"/>
      <w:szCs w:val="24"/>
      <w:u w:val="none"/>
    </w:rPr>
  </w:style>
  <w:style w:type="character" w:customStyle="1" w:styleId="27">
    <w:name w:val="font101"/>
    <w:basedOn w:val="17"/>
    <w:qFormat/>
    <w:uiPriority w:val="0"/>
    <w:rPr>
      <w:rFonts w:hint="default" w:ascii="Segoe UI Symbol" w:hAnsi="Segoe UI Symbol" w:eastAsia="Segoe UI Symbol" w:cs="Segoe UI Symbol"/>
      <w:color w:val="FF0000"/>
      <w:sz w:val="24"/>
      <w:szCs w:val="24"/>
      <w:u w:val="none"/>
    </w:rPr>
  </w:style>
  <w:style w:type="character" w:customStyle="1" w:styleId="28">
    <w:name w:val="font71"/>
    <w:basedOn w:val="17"/>
    <w:qFormat/>
    <w:uiPriority w:val="0"/>
    <w:rPr>
      <w:rFonts w:hint="eastAsia" w:ascii="宋体" w:hAnsi="宋体" w:eastAsia="宋体" w:cs="宋体"/>
      <w:color w:val="FF0000"/>
      <w:sz w:val="24"/>
      <w:szCs w:val="24"/>
      <w:u w:val="none"/>
    </w:rPr>
  </w:style>
  <w:style w:type="character" w:customStyle="1" w:styleId="29">
    <w:name w:val="font121"/>
    <w:basedOn w:val="17"/>
    <w:qFormat/>
    <w:uiPriority w:val="0"/>
    <w:rPr>
      <w:rFonts w:ascii="微软雅黑" w:hAnsi="微软雅黑" w:eastAsia="微软雅黑" w:cs="微软雅黑"/>
      <w:strike/>
      <w:color w:val="FFC000"/>
      <w:sz w:val="24"/>
      <w:szCs w:val="24"/>
    </w:rPr>
  </w:style>
  <w:style w:type="paragraph" w:customStyle="1" w:styleId="30">
    <w:name w:val="Table Paragraph"/>
    <w:basedOn w:val="1"/>
    <w:unhideWhenUsed/>
    <w:qFormat/>
    <w:uiPriority w:val="1"/>
    <w:rPr>
      <w:sz w:val="24"/>
      <w:szCs w:val="20"/>
    </w:rPr>
  </w:style>
  <w:style w:type="character" w:customStyle="1" w:styleId="31">
    <w:name w:val="页眉 Char"/>
    <w:basedOn w:val="17"/>
    <w:link w:val="15"/>
    <w:qFormat/>
    <w:uiPriority w:val="0"/>
    <w:rPr>
      <w:rFonts w:eastAsia="微软雅黑"/>
      <w:kern w:val="2"/>
      <w:sz w:val="18"/>
      <w:szCs w:val="18"/>
    </w:rPr>
  </w:style>
  <w:style w:type="character" w:customStyle="1" w:styleId="32">
    <w:name w:val="页脚 Char"/>
    <w:basedOn w:val="17"/>
    <w:link w:val="14"/>
    <w:qFormat/>
    <w:uiPriority w:val="0"/>
    <w:rPr>
      <w:rFonts w:eastAsia="微软雅黑"/>
      <w:kern w:val="2"/>
      <w:sz w:val="18"/>
      <w:szCs w:val="18"/>
    </w:rPr>
  </w:style>
  <w:style w:type="paragraph" w:customStyle="1" w:styleId="33">
    <w:name w:val="正文_0"/>
    <w:qFormat/>
    <w:uiPriority w:val="0"/>
    <w:pPr>
      <w:spacing w:line="360" w:lineRule="auto"/>
      <w:ind w:firstLine="200" w:firstLineChars="200"/>
    </w:pPr>
    <w:rPr>
      <w:rFonts w:ascii="Times New Roman" w:hAnsi="Times New Roman" w:eastAsia="宋体" w:cs="Calibri"/>
      <w:kern w:val="2"/>
      <w:sz w:val="24"/>
      <w:szCs w:val="24"/>
      <w:lang w:val="en-US" w:eastAsia="zh-CN" w:bidi="ar-SA"/>
    </w:rPr>
  </w:style>
  <w:style w:type="paragraph" w:customStyle="1" w:styleId="34">
    <w:name w:val="标题 1_0"/>
    <w:basedOn w:val="33"/>
    <w:next w:val="33"/>
    <w:qFormat/>
    <w:uiPriority w:val="0"/>
    <w:pPr>
      <w:keepNext/>
      <w:keepLines/>
      <w:numPr>
        <w:ilvl w:val="0"/>
        <w:numId w:val="1"/>
      </w:numPr>
      <w:spacing w:before="360" w:after="240"/>
      <w:ind w:firstLineChars="0"/>
      <w:outlineLvl w:val="0"/>
    </w:pPr>
    <w:rPr>
      <w:rFonts w:ascii="黑体" w:hAnsi="等线" w:eastAsia="黑体" w:cs="Times New Roman"/>
      <w:b/>
      <w:bCs/>
      <w:kern w:val="44"/>
      <w:sz w:val="32"/>
      <w:szCs w:val="30"/>
    </w:rPr>
  </w:style>
  <w:style w:type="paragraph" w:customStyle="1" w:styleId="35">
    <w:name w:val="标题 2_0"/>
    <w:next w:val="33"/>
    <w:link w:val="36"/>
    <w:qFormat/>
    <w:uiPriority w:val="0"/>
    <w:pPr>
      <w:keepNext/>
      <w:keepLines/>
      <w:numPr>
        <w:ilvl w:val="1"/>
        <w:numId w:val="1"/>
      </w:numPr>
      <w:spacing w:before="480" w:after="120"/>
      <w:outlineLvl w:val="1"/>
    </w:pPr>
    <w:rPr>
      <w:rFonts w:ascii="黑体" w:hAnsi="Times New Roman" w:eastAsia="黑体" w:cs="Times New Roman"/>
      <w:b/>
      <w:bCs/>
      <w:kern w:val="2"/>
      <w:sz w:val="28"/>
      <w:szCs w:val="28"/>
      <w:lang w:val="en-US" w:eastAsia="zh-CN" w:bidi="ar-SA"/>
    </w:rPr>
  </w:style>
  <w:style w:type="character" w:customStyle="1" w:styleId="36">
    <w:name w:val="标题 2 Char"/>
    <w:link w:val="35"/>
    <w:qFormat/>
    <w:uiPriority w:val="0"/>
    <w:rPr>
      <w:rFonts w:ascii="黑体" w:eastAsia="黑体"/>
      <w:b/>
      <w:bCs/>
      <w:kern w:val="2"/>
      <w:sz w:val="28"/>
      <w:szCs w:val="28"/>
    </w:rPr>
  </w:style>
  <w:style w:type="paragraph" w:customStyle="1" w:styleId="37">
    <w:name w:val="标题 3_0"/>
    <w:basedOn w:val="33"/>
    <w:next w:val="33"/>
    <w:qFormat/>
    <w:uiPriority w:val="0"/>
    <w:pPr>
      <w:keepNext/>
      <w:keepLines/>
      <w:numPr>
        <w:ilvl w:val="2"/>
        <w:numId w:val="1"/>
      </w:numPr>
      <w:spacing w:before="240" w:after="120"/>
      <w:ind w:firstLineChars="0"/>
      <w:outlineLvl w:val="2"/>
    </w:pPr>
    <w:rPr>
      <w:rFonts w:ascii="等线" w:hAnsi="等线" w:eastAsia="黑体" w:cs="Times New Roman"/>
      <w:bCs/>
      <w:szCs w:val="28"/>
    </w:rPr>
  </w:style>
  <w:style w:type="paragraph" w:customStyle="1" w:styleId="38">
    <w:name w:val="标题 4_0"/>
    <w:basedOn w:val="33"/>
    <w:next w:val="33"/>
    <w:qFormat/>
    <w:uiPriority w:val="0"/>
    <w:pPr>
      <w:keepNext/>
      <w:keepLines/>
      <w:numPr>
        <w:ilvl w:val="3"/>
        <w:numId w:val="1"/>
      </w:numPr>
      <w:spacing w:before="240" w:after="120"/>
      <w:ind w:firstLineChars="0"/>
      <w:outlineLvl w:val="3"/>
    </w:pPr>
    <w:rPr>
      <w:rFonts w:ascii="黑体" w:hAnsi="黑体" w:eastAsia="黑体" w:cs="Times New Roman"/>
      <w:bCs/>
    </w:rPr>
  </w:style>
  <w:style w:type="paragraph" w:customStyle="1" w:styleId="39">
    <w:name w:val="标题 5_0"/>
    <w:next w:val="33"/>
    <w:qFormat/>
    <w:uiPriority w:val="9"/>
    <w:pPr>
      <w:keepNext/>
      <w:keepLines/>
      <w:numPr>
        <w:ilvl w:val="4"/>
        <w:numId w:val="1"/>
      </w:numPr>
      <w:tabs>
        <w:tab w:val="left" w:pos="1008"/>
      </w:tabs>
      <w:spacing w:before="40" w:after="40"/>
      <w:outlineLvl w:val="4"/>
    </w:pPr>
    <w:rPr>
      <w:rFonts w:ascii="Times New Roman" w:hAnsi="Times New Roman" w:eastAsia="宋体" w:cs="Times New Roman"/>
      <w:b/>
      <w:bCs/>
      <w:kern w:val="2"/>
      <w:sz w:val="24"/>
      <w:szCs w:val="24"/>
      <w:lang w:val="en-US" w:eastAsia="zh-CN" w:bidi="ar-SA"/>
    </w:rPr>
  </w:style>
  <w:style w:type="paragraph" w:customStyle="1" w:styleId="40">
    <w:name w:val="标题 6_0"/>
    <w:basedOn w:val="33"/>
    <w:next w:val="33"/>
    <w:qFormat/>
    <w:uiPriority w:val="0"/>
    <w:pPr>
      <w:keepNext/>
      <w:keepLines/>
      <w:numPr>
        <w:ilvl w:val="5"/>
        <w:numId w:val="1"/>
      </w:numPr>
      <w:spacing w:before="240" w:after="64" w:line="320" w:lineRule="auto"/>
      <w:ind w:firstLineChars="0"/>
      <w:outlineLvl w:val="5"/>
    </w:pPr>
    <w:rPr>
      <w:rFonts w:ascii="Calibri Light" w:hAnsi="Calibri Light" w:eastAsia="等线" w:cs="Times New Roman"/>
      <w:b/>
      <w:bCs/>
    </w:rPr>
  </w:style>
  <w:style w:type="paragraph" w:customStyle="1" w:styleId="41">
    <w:name w:val="标题 7_0"/>
    <w:basedOn w:val="33"/>
    <w:next w:val="33"/>
    <w:qFormat/>
    <w:uiPriority w:val="0"/>
    <w:pPr>
      <w:keepNext/>
      <w:keepLines/>
      <w:numPr>
        <w:ilvl w:val="6"/>
        <w:numId w:val="1"/>
      </w:numPr>
      <w:spacing w:before="240" w:after="64" w:line="320" w:lineRule="auto"/>
      <w:ind w:firstLineChars="0"/>
      <w:outlineLvl w:val="6"/>
    </w:pPr>
    <w:rPr>
      <w:rFonts w:ascii="等线" w:hAnsi="等线" w:eastAsia="等线" w:cs="Times New Roman"/>
      <w:b/>
      <w:bCs/>
    </w:rPr>
  </w:style>
  <w:style w:type="paragraph" w:customStyle="1" w:styleId="42">
    <w:name w:val="标题 8_0"/>
    <w:basedOn w:val="33"/>
    <w:next w:val="33"/>
    <w:qFormat/>
    <w:uiPriority w:val="0"/>
    <w:pPr>
      <w:keepNext/>
      <w:keepLines/>
      <w:numPr>
        <w:ilvl w:val="7"/>
        <w:numId w:val="1"/>
      </w:numPr>
      <w:spacing w:before="240" w:after="64" w:line="320" w:lineRule="auto"/>
      <w:ind w:firstLineChars="0"/>
      <w:outlineLvl w:val="7"/>
    </w:pPr>
    <w:rPr>
      <w:rFonts w:ascii="Calibri Light" w:hAnsi="Calibri Light" w:eastAsia="等线" w:cs="Times New Roman"/>
      <w:b/>
    </w:rPr>
  </w:style>
  <w:style w:type="paragraph" w:customStyle="1" w:styleId="4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KY1正文"/>
    <w:basedOn w:val="1"/>
    <w:qFormat/>
    <w:uiPriority w:val="0"/>
    <w:pPr>
      <w:spacing w:before="156" w:beforeLines="50" w:after="156" w:afterLines="50"/>
      <w:ind w:firstLine="480" w:firstLineChars="200"/>
      <w:contextualSpacing/>
    </w:pPr>
    <w:rPr>
      <w:rFonts w:cs="等线"/>
      <w:color w:val="000000"/>
      <w:sz w:val="24"/>
    </w:rPr>
  </w:style>
  <w:style w:type="paragraph" w:styleId="45">
    <w:name w:val="List Paragraph"/>
    <w:basedOn w:val="1"/>
    <w:autoRedefine/>
    <w:qFormat/>
    <w:uiPriority w:val="34"/>
    <w:pPr>
      <w:snapToGrid/>
      <w:spacing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6971</Words>
  <Characters>7038</Characters>
  <Lines>52</Lines>
  <Paragraphs>14</Paragraphs>
  <TotalTime>259</TotalTime>
  <ScaleCrop>false</ScaleCrop>
  <LinksUpToDate>false</LinksUpToDate>
  <CharactersWithSpaces>7041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2023-07-31T05:19:00Z</dcterms:created>
  <dc:creator>陈景晓</dc:creator>
  <cp:lastModifiedBy>廖志伟</cp:lastModifiedBy>
  <dcterms:modified xsi:type="dcterms:W3CDTF">2025-09-15T02:12:29Z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C4838485E4294FF5ACE864330D8C1926_13</vt:lpwstr>
  </property>
  <property fmtid="{D5CDD505-2E9C-101B-9397-08002B2CF9AE}" pid="4" name="KSOTemplateDocerSaveRecord">
    <vt:lpwstr>eyJoZGlkIjoiYWVjNDE0ZGY0MTgyNTVmMjE4NmUxOGYxZTQ5NThmMGMiLCJ1c2VySWQiOiIzNDM3NDc3MzQifQ==</vt:lpwstr>
  </property>
</Properties>
</file>