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AFB85">
      <w:pPr>
        <w:spacing w:line="480" w:lineRule="exact"/>
        <w:jc w:val="center"/>
        <w:rPr>
          <w:rFonts w:hint="eastAsia" w:ascii="宋体" w:hAnsi="宋体" w:cs="仿宋_GB2312"/>
          <w:b/>
          <w:bCs/>
          <w:sz w:val="36"/>
          <w:szCs w:val="36"/>
          <w:highlight w:val="none"/>
        </w:rPr>
      </w:pPr>
      <w:r>
        <w:rPr>
          <w:rFonts w:hint="eastAsia" w:ascii="宋体" w:hAnsi="宋体" w:cs="仿宋_GB2312"/>
          <w:b/>
          <w:bCs/>
          <w:sz w:val="36"/>
          <w:szCs w:val="36"/>
          <w:highlight w:val="none"/>
          <w:lang w:val="en-US" w:eastAsia="zh-CN"/>
        </w:rPr>
        <w:t>2025年第三方满意度测评项目</w:t>
      </w:r>
      <w:r>
        <w:rPr>
          <w:rFonts w:hint="eastAsia" w:ascii="宋体" w:hAnsi="宋体" w:cs="仿宋_GB2312"/>
          <w:b/>
          <w:bCs/>
          <w:sz w:val="36"/>
          <w:szCs w:val="36"/>
          <w:highlight w:val="none"/>
        </w:rPr>
        <w:t>评分表</w:t>
      </w:r>
    </w:p>
    <w:p w14:paraId="440C7841">
      <w:pPr>
        <w:pStyle w:val="2"/>
        <w:rPr>
          <w:rFonts w:hint="eastAsia"/>
        </w:rPr>
      </w:pPr>
    </w:p>
    <w:tbl>
      <w:tblPr>
        <w:tblStyle w:val="6"/>
        <w:tblW w:w="88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8"/>
        <w:gridCol w:w="952"/>
        <w:gridCol w:w="5385"/>
        <w:gridCol w:w="720"/>
        <w:gridCol w:w="625"/>
      </w:tblGrid>
      <w:tr w14:paraId="48749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81763F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eastAsia="zh-CN" w:bidi="ar"/>
              </w:rPr>
              <w:t>公司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名称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：</w:t>
            </w:r>
          </w:p>
        </w:tc>
      </w:tr>
      <w:tr w14:paraId="2F30B1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367470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eastAsia="zh-CN" w:bidi="ar"/>
              </w:rPr>
              <w:t>评分人签名：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评分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eastAsia="zh-CN" w:bidi="ar"/>
              </w:rPr>
              <w:t>日期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：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评分合计： </w:t>
            </w:r>
          </w:p>
        </w:tc>
      </w:tr>
      <w:tr w14:paraId="23134E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11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ADC30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评审项目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462A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标准分</w:t>
            </w:r>
          </w:p>
        </w:tc>
        <w:tc>
          <w:tcPr>
            <w:tcW w:w="5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C6202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评审分项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0079E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得分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27507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2586F5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1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58D52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商务部分（26）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2ED6A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5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44B0B8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客户评价：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响应投标人提供2022年1月1日至今与医院合作的客户评价为正面评价（优秀或者满意或相当于类似评价）的，每提供一份优秀评价的服务项目客户满意度评价的，得2分，最高得10分（提供满意度评价证明文件复印件并加盖公章，无提供证明资料的不得分。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E051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3AFBF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492DF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15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35E7A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969BD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5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B4F2D7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等级评审迎检类项目经验：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响应投标人提供2022年1月1日至今与医院合作的项目等级评审迎检类项目经验合同，每提供一份具有等级评审迎检项目合同的，得2分，最高分10分（提供合同的复印件或扫描件，合同可以提供关键页面，无提供证明材料不得分。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C5A1F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2B12B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3FE2FA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15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F60B5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B734C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132A25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认证体系：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根据响应供应商是否具备有效期内的以下认证进行评审，每提供一个证书得2分，本项最高得6分：</w:t>
            </w:r>
          </w:p>
          <w:p w14:paraId="691D606A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质量管理体系认证证书；</w:t>
            </w:r>
          </w:p>
          <w:p w14:paraId="41E3CB54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环境管理体系认证证书；</w:t>
            </w:r>
          </w:p>
          <w:p w14:paraId="387E1BBC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职业健康安全管理体系认证证书。</w:t>
            </w:r>
          </w:p>
          <w:p w14:paraId="4B12513B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（需提供相关证明文件复印件或扫描件，无提供不得分）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8C41F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11598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438AC9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1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FC421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技术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部分  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分）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DD03A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5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3A64A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实施</w:t>
            </w:r>
            <w:r>
              <w:rPr>
                <w:rFonts w:hint="eastAsia" w:ascii="仿宋" w:hAnsi="仿宋" w:eastAsia="仿宋" w:cs="仿宋"/>
                <w:b/>
                <w:bCs/>
              </w:rPr>
              <w:t>方案</w:t>
            </w: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</w:rPr>
              <w:t>于本项目采购需求，根据投标人所提供的项目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实施</w:t>
            </w:r>
            <w:r>
              <w:rPr>
                <w:rFonts w:hint="eastAsia" w:ascii="仿宋" w:hAnsi="仿宋" w:eastAsia="仿宋" w:cs="仿宋"/>
              </w:rPr>
              <w:t>方案（包括项目目标、项目执行、进度控制、项目保障措施等）进行评审：</w:t>
            </w:r>
          </w:p>
          <w:p w14:paraId="50DFEBD1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方案目标明确，与采购需求高度契合；执行路径清晰，资源分配合理；进度控制节点细化，风险应对预案完备；保障措施（人力、技术、资金）具体且可验证，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</w:rPr>
              <w:t>分；</w:t>
            </w:r>
          </w:p>
          <w:p w14:paraId="49487F52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方案目标基本满足需求，执行框架完整但细节待优化；进度计划可行但灵活性不足；保障措施存在但部分环节需补充说明，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</w:rPr>
              <w:t>分；</w:t>
            </w:r>
          </w:p>
          <w:p w14:paraId="1575012C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方案目标与需求部分匹配，执行逻辑存在模糊点；进度控制缺乏关键节点；保障措施薄弱，依赖外部条件，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</w:rPr>
              <w:t>分；</w:t>
            </w:r>
          </w:p>
          <w:p w14:paraId="108D47EA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</w:rPr>
              <w:t>方案目标偏离需求，执行路径不清晰；进度计划脱离实际；保障措施缺失或不可行，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</w:rPr>
              <w:t>分；</w:t>
            </w:r>
          </w:p>
          <w:p w14:paraId="7B29B5AC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</w:rPr>
              <w:t>无提供相关内容不得分。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81936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　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F146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　</w:t>
            </w:r>
          </w:p>
        </w:tc>
      </w:tr>
      <w:tr w14:paraId="026D1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15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D9CA08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A41CF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5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0BAD1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</w:rPr>
              <w:t>质量控制方案</w:t>
            </w: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</w:rPr>
              <w:t>基于本项目采购需求，对投标人所提供的培训、监督、管理、考核体系，实地调查质量控制体系，保证调查数据方法，调查数据复核流程等</w:t>
            </w:r>
            <w:bookmarkEnd w:id="0"/>
            <w:r>
              <w:rPr>
                <w:rFonts w:hint="eastAsia" w:ascii="仿宋" w:hAnsi="仿宋" w:eastAsia="仿宋" w:cs="仿宋"/>
                <w:color w:val="auto"/>
              </w:rPr>
              <w:t>进行评审：</w:t>
            </w:r>
          </w:p>
          <w:p w14:paraId="049FC173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</w:rPr>
              <w:t>体系覆盖培训、监督、管理、考核全流程，各环节质量控制标准明确；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</w:rPr>
              <w:t>实地调查方法科学（如抽样设计、工具信效度验证），数据采集流程规范；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</w:rPr>
              <w:t>数据复核流程完整（如双人独立复核、异常数据追溯机制），可追溯性强；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</w:rPr>
              <w:t>配套保障措施（如人员资质、技术工具、应急预案）具体且可验证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color w:val="auto"/>
              </w:rPr>
              <w:t>分；</w:t>
            </w:r>
          </w:p>
          <w:p w14:paraId="51995E68"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</w:rPr>
              <w:t>体系覆盖主要环节，但部分环节（如考核标准）细节待优化；2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</w:rPr>
              <w:t>调查方法基本可行，但工具或样本量存在局限性；3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</w:rPr>
              <w:t>数据复核流程存在，但部分环节（如异常处理）需补充说明；4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</w:rPr>
              <w:t>保障措施基本到位，但依赖外部条件，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</w:rPr>
              <w:t>分；</w:t>
            </w:r>
          </w:p>
          <w:p w14:paraId="3674A126"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</w:rPr>
              <w:t>体系框架完整，但部分环节（如监督机制）逻辑模糊；</w:t>
            </w:r>
          </w:p>
          <w:p w14:paraId="3C3E96D7">
            <w:pPr>
              <w:widowControl/>
              <w:numPr>
                <w:numId w:val="0"/>
              </w:numPr>
              <w:ind w:left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</w:rPr>
              <w:t>调查方法可行，但缺乏科学依据（如未说明抽样方法）；3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</w:rPr>
              <w:t>数据复核流程薄弱，依赖人工经验；4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</w:rPr>
              <w:t>保障措施缺失关键要素（如未明确技术工具），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auto"/>
              </w:rPr>
              <w:t>分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；</w:t>
            </w:r>
          </w:p>
          <w:p w14:paraId="06E0A254"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</w:rPr>
              <w:t>体系不完整，关键环节（如考核）缺失；2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</w:rPr>
              <w:t>调查方法脱离实际，数据采集流程混乱；3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</w:rPr>
              <w:t>数据复核流程缺失或不可行；4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</w:rPr>
              <w:t>保障措施无法支撑质量控制目标，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</w:rPr>
              <w:t>分；</w:t>
            </w:r>
          </w:p>
          <w:p w14:paraId="4971A67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color w:val="auto"/>
              </w:rPr>
              <w:t>无提供相关内容不得分。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4AFA4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　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D493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　</w:t>
            </w:r>
          </w:p>
        </w:tc>
      </w:tr>
      <w:tr w14:paraId="08562B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0234E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价格部分 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分）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6CE22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5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3EBB27C">
            <w:pPr>
              <w:pStyle w:val="2"/>
              <w:ind w:left="0" w:leftChars="0" w:firstLine="0" w:firstLineChars="0"/>
              <w:rPr>
                <w:rStyle w:val="9"/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价格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评分：</w:t>
            </w:r>
            <w:r>
              <w:rPr>
                <w:rStyle w:val="9"/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采用投标总价计算方式：</w:t>
            </w:r>
          </w:p>
          <w:p w14:paraId="5490C7F7">
            <w:pPr>
              <w:widowControl/>
              <w:numPr>
                <w:ilvl w:val="0"/>
                <w:numId w:val="0"/>
              </w:numPr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（1）评标基准价计算方法：所有有效投标报价的平均值为评标基准价，保留小数点后两位小数，第三位小数四舍五入；</w:t>
            </w:r>
          </w:p>
          <w:p w14:paraId="17F43A9B">
            <w:pPr>
              <w:widowControl/>
              <w:numPr>
                <w:ilvl w:val="0"/>
                <w:numId w:val="0"/>
              </w:numPr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（2）投标报价的偏差率计算：偏差率＝100％×（投标报价－评标基准价）／评标基准价，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保留三位小数，小数点后第四位四舍五入。</w:t>
            </w:r>
          </w:p>
          <w:p w14:paraId="7DF461D6">
            <w:pPr>
              <w:widowControl/>
              <w:numPr>
                <w:ilvl w:val="0"/>
                <w:numId w:val="0"/>
              </w:numPr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（3）报价得分计算：</w:t>
            </w:r>
          </w:p>
          <w:p w14:paraId="1F375810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　　　偏差率≤０时，报价得分＝30+100×偏差率</w:t>
            </w:r>
          </w:p>
          <w:p w14:paraId="14F0AB6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　　　偏差率＞０时，报价得分＝30-100×偏差率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43975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　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418A3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　</w:t>
            </w:r>
          </w:p>
        </w:tc>
      </w:tr>
      <w:tr w14:paraId="4260F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</w:trPr>
        <w:tc>
          <w:tcPr>
            <w:tcW w:w="8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6081B5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评分说明：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根据院内竞标细则，参加综合评标人员：财务科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1人、使用科室2人、采购科室1人，采购科室分管领导。监督部门：纪检监察和审计科。原则上至少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5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人组成专家评分组，进行评分，去掉一个最高分，去掉一个最低分，取平均分。按得分由高到低顺序确定中标候选单位；得分相同的，按投标报价由低到高顺序确定中标候选单位；得分且投标报价相同的，按技术指标优劣顺序确定中标单位。</w:t>
            </w:r>
          </w:p>
        </w:tc>
      </w:tr>
    </w:tbl>
    <w:p w14:paraId="15D16AFA">
      <w:pPr>
        <w:spacing w:line="440" w:lineRule="exact"/>
        <w:rPr>
          <w:rFonts w:hint="eastAsia" w:ascii="仿宋" w:hAnsi="仿宋" w:eastAsia="仿宋" w:cs="仿宋"/>
          <w:bCs/>
          <w:spacing w:val="10"/>
          <w:sz w:val="24"/>
        </w:rPr>
      </w:pPr>
      <w:r>
        <w:rPr>
          <w:rFonts w:hint="eastAsia" w:ascii="仿宋" w:hAnsi="仿宋" w:eastAsia="仿宋" w:cs="仿宋"/>
          <w:bCs/>
          <w:spacing w:val="10"/>
          <w:sz w:val="24"/>
        </w:rPr>
        <w:t xml:space="preserve"> </w:t>
      </w:r>
    </w:p>
    <w:p w14:paraId="054F7D47">
      <w:pPr>
        <w:spacing w:line="440" w:lineRule="exact"/>
        <w:rPr>
          <w:rFonts w:hint="eastAsia" w:ascii="仿宋" w:hAnsi="仿宋" w:eastAsia="仿宋" w:cs="仿宋"/>
          <w:bCs/>
          <w:spacing w:val="10"/>
          <w:sz w:val="24"/>
        </w:rPr>
      </w:pPr>
      <w:r>
        <w:rPr>
          <w:rFonts w:hint="eastAsia" w:ascii="仿宋" w:hAnsi="仿宋" w:eastAsia="仿宋" w:cs="仿宋"/>
          <w:spacing w:val="-20"/>
          <w:sz w:val="24"/>
        </w:rPr>
        <w:t xml:space="preserve"> </w:t>
      </w:r>
      <w:r>
        <w:rPr>
          <w:rFonts w:hint="eastAsia" w:ascii="仿宋" w:hAnsi="仿宋" w:eastAsia="仿宋" w:cs="仿宋"/>
          <w:iCs/>
          <w:sz w:val="24"/>
          <w:lang w:eastAsia="zh-CN"/>
        </w:rPr>
        <w:t>备注</w:t>
      </w:r>
      <w:r>
        <w:rPr>
          <w:rFonts w:hint="eastAsia" w:ascii="仿宋" w:hAnsi="仿宋" w:eastAsia="仿宋" w:cs="仿宋"/>
          <w:iCs/>
          <w:sz w:val="24"/>
        </w:rPr>
        <w:t>：1、以上表格由评委单独填写；</w:t>
      </w:r>
    </w:p>
    <w:p w14:paraId="37F2ABD1">
      <w:pPr>
        <w:spacing w:line="400" w:lineRule="exact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iCs/>
          <w:sz w:val="24"/>
        </w:rPr>
        <w:t xml:space="preserve">      </w:t>
      </w:r>
      <w:r>
        <w:rPr>
          <w:rFonts w:hint="eastAsia" w:ascii="仿宋" w:hAnsi="仿宋" w:eastAsia="仿宋" w:cs="仿宋"/>
          <w:iCs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iCs/>
          <w:sz w:val="24"/>
        </w:rPr>
        <w:t>2、供应商最终得分为所有评委打分的算术平均值</w:t>
      </w:r>
      <w:r>
        <w:rPr>
          <w:rFonts w:hint="eastAsia" w:ascii="仿宋" w:hAnsi="仿宋" w:eastAsia="仿宋" w:cs="仿宋"/>
          <w:iCs/>
          <w:sz w:val="24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4C69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191390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191390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DFE599"/>
    <w:multiLevelType w:val="singleLevel"/>
    <w:tmpl w:val="96DFE59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89CE46"/>
    <w:multiLevelType w:val="singleLevel"/>
    <w:tmpl w:val="BA89CE4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mZWM3YzBjZTBkNmJjZmRlMTkxZWNkYjQzYzg4YTkifQ=="/>
  </w:docVars>
  <w:rsids>
    <w:rsidRoot w:val="00045B40"/>
    <w:rsid w:val="00045B40"/>
    <w:rsid w:val="00264B74"/>
    <w:rsid w:val="00446696"/>
    <w:rsid w:val="00554145"/>
    <w:rsid w:val="00610486"/>
    <w:rsid w:val="00AE4848"/>
    <w:rsid w:val="00D31D52"/>
    <w:rsid w:val="05A65150"/>
    <w:rsid w:val="09EF09C1"/>
    <w:rsid w:val="0A104C28"/>
    <w:rsid w:val="0D2C0BA2"/>
    <w:rsid w:val="17D42DD1"/>
    <w:rsid w:val="1B585CBB"/>
    <w:rsid w:val="2681564B"/>
    <w:rsid w:val="28E5380B"/>
    <w:rsid w:val="31207512"/>
    <w:rsid w:val="328425C8"/>
    <w:rsid w:val="34BA5F8F"/>
    <w:rsid w:val="38F12ED1"/>
    <w:rsid w:val="3C890A0F"/>
    <w:rsid w:val="405148C0"/>
    <w:rsid w:val="42C615B8"/>
    <w:rsid w:val="4C740DDC"/>
    <w:rsid w:val="53291BD1"/>
    <w:rsid w:val="53876131"/>
    <w:rsid w:val="551C5120"/>
    <w:rsid w:val="5A76335E"/>
    <w:rsid w:val="5C076A71"/>
    <w:rsid w:val="5EF601F8"/>
    <w:rsid w:val="5F6C7846"/>
    <w:rsid w:val="65247CD2"/>
    <w:rsid w:val="6CE1553E"/>
    <w:rsid w:val="6E434AB9"/>
    <w:rsid w:val="6F426839"/>
    <w:rsid w:val="74F730EE"/>
    <w:rsid w:val="75D845A5"/>
    <w:rsid w:val="7801696F"/>
    <w:rsid w:val="79030AAF"/>
    <w:rsid w:val="7D0C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link w:val="8"/>
    <w:qFormat/>
    <w:uiPriority w:val="0"/>
    <w:pPr>
      <w:keepNext/>
      <w:keepLines/>
      <w:spacing w:before="260" w:after="260" w:line="413" w:lineRule="auto"/>
      <w:ind w:firstLine="200" w:firstLineChars="200"/>
      <w:outlineLvl w:val="2"/>
    </w:pPr>
    <w:rPr>
      <w:bCs/>
      <w:kern w:val="0"/>
      <w:sz w:val="24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eastAsia="宋体"/>
      <w:kern w:val="2"/>
      <w:sz w:val="21"/>
      <w:lang w:val="en-US" w:eastAsia="zh-CN" w:bidi="ar-SA"/>
    </w:r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标题 3 Char"/>
    <w:basedOn w:val="7"/>
    <w:link w:val="3"/>
    <w:qFormat/>
    <w:uiPriority w:val="0"/>
    <w:rPr>
      <w:rFonts w:ascii="Times New Roman" w:hAnsi="Times New Roman" w:eastAsia="宋体" w:cs="Times New Roman"/>
      <w:bCs/>
      <w:kern w:val="0"/>
      <w:sz w:val="24"/>
      <w:szCs w:val="32"/>
    </w:rPr>
  </w:style>
  <w:style w:type="character" w:customStyle="1" w:styleId="9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2</Pages>
  <Words>1152</Words>
  <Characters>1191</Characters>
  <Lines>17</Lines>
  <Paragraphs>5</Paragraphs>
  <TotalTime>275</TotalTime>
  <ScaleCrop>false</ScaleCrop>
  <LinksUpToDate>false</LinksUpToDate>
  <CharactersWithSpaces>1243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2017-05-02T07:38:00Z</dcterms:created>
  <dc:creator>微软中国</dc:creator>
  <cp:lastModifiedBy>廖志伟</cp:lastModifiedBy>
  <cp:lastPrinted>2024-12-16T01:56:00Z</cp:lastPrinted>
  <dcterms:modified xsi:type="dcterms:W3CDTF">2025-10-30T06:42:28Z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B7D69AD10E2D4A93AF438D8BE645B0A9_13</vt:lpwstr>
  </property>
  <property fmtid="{D5CDD505-2E9C-101B-9397-08002B2CF9AE}" pid="4" name="KSOTemplateDocerSaveRecord">
    <vt:lpwstr>eyJoZGlkIjoiYzc0MGU3NmM2ZWM2YjI0YWZhOGJmYjVhOTc1ODk4NDQiLCJ1c2VySWQiOiIzNDM3NDc3MzQifQ==</vt:lpwstr>
  </property>
</Properties>
</file>