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C7ED1">
      <w:pPr>
        <w:snapToGrid w:val="0"/>
        <w:spacing w:before="156" w:beforeLines="50" w:after="156" w:afterLines="50" w:line="360" w:lineRule="auto"/>
        <w:jc w:val="center"/>
        <w:outlineLvl w:val="2"/>
        <w:rPr>
          <w:rFonts w:ascii="黑体" w:hAnsi="宋体" w:cs="宋体"/>
          <w:sz w:val="28"/>
          <w:szCs w:val="28"/>
        </w:rPr>
      </w:pPr>
      <w:r>
        <w:rPr>
          <w:rFonts w:hint="eastAsia" w:ascii="黑体" w:hAnsi="宋体" w:cs="宋体"/>
          <w:sz w:val="28"/>
          <w:szCs w:val="28"/>
        </w:rPr>
        <w:t>英德市人民医院山边护坡工程设计服务综合评分表</w:t>
      </w:r>
    </w:p>
    <w:p w14:paraId="612E877A">
      <w:pPr>
        <w:autoSpaceDE/>
        <w:autoSpaceDN/>
        <w:adjustRightInd/>
        <w:spacing w:after="156" w:afterLines="50" w:line="360" w:lineRule="auto"/>
        <w:ind w:firstLine="520" w:firstLineChars="200"/>
        <w:rPr>
          <w:rFonts w:ascii="楷体" w:hAnsi="楷体" w:eastAsia="楷体" w:cs="楷体"/>
          <w:sz w:val="24"/>
          <w:szCs w:val="24"/>
        </w:rPr>
      </w:pPr>
      <w:r>
        <w:rPr>
          <w:rFonts w:hint="eastAsia" w:ascii="楷体" w:hAnsi="楷体" w:eastAsia="楷体" w:cs="楷体"/>
          <w:bCs/>
          <w:spacing w:val="10"/>
          <w:sz w:val="24"/>
          <w:szCs w:val="24"/>
        </w:rPr>
        <w:t>评审说明：为保障生产安全，尽快消除安全隐患，启动“英德市人民医院山边护坡工程</w:t>
      </w:r>
      <w:bookmarkStart w:id="0" w:name="_GoBack"/>
      <w:bookmarkEnd w:id="0"/>
      <w:r>
        <w:rPr>
          <w:rFonts w:hint="eastAsia" w:ascii="楷体" w:hAnsi="楷体" w:eastAsia="楷体" w:cs="楷体"/>
          <w:bCs/>
          <w:spacing w:val="10"/>
          <w:sz w:val="24"/>
          <w:szCs w:val="24"/>
        </w:rPr>
        <w:t>”。根据《中华人民共和国政府采购法》、《中华人民共和国招标投标法》、《广东省政府集中采购目录及标准（2020年版）》和省市有关制度及医院采购管理规定结合院内采购实施细则制定如下综合评标方式对公司进行遴选。如下表：</w:t>
      </w:r>
    </w:p>
    <w:tbl>
      <w:tblPr>
        <w:tblStyle w:val="13"/>
        <w:tblpPr w:leftFromText="180" w:rightFromText="180" w:vertAnchor="text" w:horzAnchor="page" w:tblpX="1320" w:tblpY="23"/>
        <w:tblOverlap w:val="never"/>
        <w:tblW w:w="923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60"/>
        <w:gridCol w:w="1137"/>
        <w:gridCol w:w="675"/>
        <w:gridCol w:w="5235"/>
        <w:gridCol w:w="800"/>
        <w:gridCol w:w="530"/>
      </w:tblGrid>
      <w:tr w14:paraId="780190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6" w:hRule="atLeast"/>
        </w:trPr>
        <w:tc>
          <w:tcPr>
            <w:tcW w:w="1997" w:type="dxa"/>
            <w:gridSpan w:val="2"/>
            <w:vAlign w:val="center"/>
          </w:tcPr>
          <w:p w14:paraId="2EC1FBC2">
            <w:pPr>
              <w:snapToGrid w:val="0"/>
              <w:ind w:left="-78" w:leftChars="-37" w:right="-73" w:rightChars="-35"/>
              <w:jc w:val="center"/>
              <w:rPr>
                <w:rFonts w:ascii="宋体" w:hAnsi="宋体" w:cs="宋体"/>
                <w:b/>
              </w:rPr>
            </w:pPr>
            <w:r>
              <w:rPr>
                <w:rFonts w:hint="eastAsia" w:ascii="宋体" w:hAnsi="宋体" w:cs="宋体"/>
                <w:b/>
              </w:rPr>
              <w:t>竞标公司</w:t>
            </w:r>
          </w:p>
        </w:tc>
        <w:tc>
          <w:tcPr>
            <w:tcW w:w="7240" w:type="dxa"/>
            <w:gridSpan w:val="4"/>
            <w:vAlign w:val="center"/>
          </w:tcPr>
          <w:p w14:paraId="484E5B8B">
            <w:pPr>
              <w:snapToGrid w:val="0"/>
              <w:ind w:left="-78" w:leftChars="-37" w:right="-73" w:rightChars="-35"/>
              <w:jc w:val="center"/>
              <w:rPr>
                <w:rFonts w:ascii="宋体" w:hAnsi="宋体" w:cs="宋体"/>
                <w:b/>
              </w:rPr>
            </w:pPr>
          </w:p>
        </w:tc>
      </w:tr>
      <w:tr w14:paraId="3359FA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6" w:hRule="atLeast"/>
        </w:trPr>
        <w:tc>
          <w:tcPr>
            <w:tcW w:w="9237" w:type="dxa"/>
            <w:gridSpan w:val="6"/>
            <w:vAlign w:val="center"/>
          </w:tcPr>
          <w:p w14:paraId="5FF6BB34">
            <w:pPr>
              <w:snapToGrid w:val="0"/>
              <w:ind w:left="-78" w:leftChars="-37" w:right="-73" w:rightChars="-35"/>
              <w:jc w:val="center"/>
              <w:rPr>
                <w:rFonts w:ascii="楷体" w:hAnsi="楷体" w:eastAsia="楷体" w:cs="楷体"/>
                <w:b/>
                <w:sz w:val="24"/>
                <w:szCs w:val="24"/>
                <w:lang w:bidi="ar"/>
              </w:rPr>
            </w:pPr>
            <w:r>
              <w:rPr>
                <w:rFonts w:hint="eastAsia" w:ascii="楷体" w:hAnsi="楷体" w:eastAsia="楷体" w:cs="楷体"/>
                <w:b/>
                <w:sz w:val="24"/>
                <w:szCs w:val="24"/>
                <w:lang w:bidi="ar"/>
              </w:rPr>
              <w:t>评分人签名：                  评分日期：             评分合计：</w:t>
            </w:r>
          </w:p>
        </w:tc>
      </w:tr>
      <w:tr w14:paraId="122A93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6" w:hRule="atLeast"/>
        </w:trPr>
        <w:tc>
          <w:tcPr>
            <w:tcW w:w="1997" w:type="dxa"/>
            <w:gridSpan w:val="2"/>
            <w:vAlign w:val="center"/>
          </w:tcPr>
          <w:p w14:paraId="7D3745CC">
            <w:pPr>
              <w:snapToGrid w:val="0"/>
              <w:ind w:left="-78" w:leftChars="-37" w:right="-73" w:rightChars="-35"/>
              <w:jc w:val="center"/>
              <w:rPr>
                <w:rFonts w:ascii="宋体" w:hAnsi="宋体" w:cs="宋体"/>
                <w:b/>
              </w:rPr>
            </w:pPr>
            <w:r>
              <w:rPr>
                <w:rFonts w:hint="eastAsia" w:ascii="宋体" w:hAnsi="宋体" w:cs="宋体"/>
                <w:b/>
              </w:rPr>
              <w:t>说明内容</w:t>
            </w:r>
          </w:p>
        </w:tc>
        <w:tc>
          <w:tcPr>
            <w:tcW w:w="7240" w:type="dxa"/>
            <w:gridSpan w:val="4"/>
            <w:vAlign w:val="center"/>
          </w:tcPr>
          <w:p w14:paraId="7514349F">
            <w:pPr>
              <w:snapToGrid w:val="0"/>
              <w:ind w:left="-78" w:leftChars="-37" w:right="-73" w:rightChars="-35"/>
              <w:jc w:val="center"/>
              <w:rPr>
                <w:rFonts w:ascii="宋体" w:hAnsi="宋体" w:cs="宋体"/>
                <w:b/>
              </w:rPr>
            </w:pPr>
            <w:r>
              <w:rPr>
                <w:rFonts w:hint="eastAsia" w:ascii="宋体" w:hAnsi="宋体" w:cs="宋体"/>
                <w:b/>
              </w:rPr>
              <w:t>编列内容</w:t>
            </w:r>
          </w:p>
        </w:tc>
      </w:tr>
      <w:tr w14:paraId="16AF19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3" w:hRule="atLeast"/>
        </w:trPr>
        <w:tc>
          <w:tcPr>
            <w:tcW w:w="1997" w:type="dxa"/>
            <w:gridSpan w:val="2"/>
            <w:vAlign w:val="center"/>
          </w:tcPr>
          <w:p w14:paraId="0C0D21B3">
            <w:pPr>
              <w:snapToGrid w:val="0"/>
              <w:jc w:val="center"/>
              <w:rPr>
                <w:rFonts w:ascii="宋体" w:hAnsi="宋体" w:cs="宋体"/>
              </w:rPr>
            </w:pPr>
            <w:r>
              <w:rPr>
                <w:rFonts w:hint="eastAsia" w:ascii="宋体" w:hAnsi="宋体" w:cs="宋体"/>
              </w:rPr>
              <w:t>分值构成</w:t>
            </w:r>
          </w:p>
        </w:tc>
        <w:tc>
          <w:tcPr>
            <w:tcW w:w="7240" w:type="dxa"/>
            <w:gridSpan w:val="4"/>
            <w:vAlign w:val="center"/>
          </w:tcPr>
          <w:p w14:paraId="01857F67">
            <w:pPr>
              <w:widowControl/>
              <w:snapToGrid w:val="0"/>
              <w:jc w:val="center"/>
              <w:rPr>
                <w:rFonts w:ascii="宋体" w:hAnsi="宋体" w:cs="宋体"/>
              </w:rPr>
            </w:pPr>
            <w:r>
              <w:rPr>
                <w:rFonts w:hint="eastAsia" w:ascii="宋体" w:hAnsi="宋体" w:cs="宋体"/>
              </w:rPr>
              <w:t>技术部分：</w:t>
            </w:r>
            <w:r>
              <w:rPr>
                <w:rFonts w:hint="eastAsia" w:ascii="宋体" w:hAnsi="宋体" w:cs="宋体"/>
                <w:u w:val="single"/>
              </w:rPr>
              <w:t>45</w:t>
            </w:r>
            <w:r>
              <w:rPr>
                <w:rFonts w:hint="eastAsia" w:ascii="宋体" w:hAnsi="宋体" w:cs="宋体"/>
              </w:rPr>
              <w:t>分（权重</w:t>
            </w:r>
            <w:r>
              <w:rPr>
                <w:rFonts w:hint="eastAsia" w:ascii="宋体" w:hAnsi="宋体" w:cs="宋体"/>
                <w:u w:val="single"/>
              </w:rPr>
              <w:t>45%</w:t>
            </w:r>
            <w:r>
              <w:rPr>
                <w:rFonts w:hint="eastAsia" w:ascii="宋体" w:hAnsi="宋体" w:cs="宋体"/>
              </w:rPr>
              <w:t>）</w:t>
            </w:r>
          </w:p>
          <w:p w14:paraId="0A79F06F">
            <w:pPr>
              <w:widowControl/>
              <w:snapToGrid w:val="0"/>
              <w:jc w:val="center"/>
              <w:rPr>
                <w:rFonts w:ascii="宋体" w:hAnsi="宋体" w:cs="宋体"/>
              </w:rPr>
            </w:pPr>
            <w:r>
              <w:rPr>
                <w:rFonts w:hint="eastAsia" w:ascii="宋体" w:hAnsi="宋体" w:cs="宋体"/>
              </w:rPr>
              <w:t>服务部分：</w:t>
            </w:r>
            <w:r>
              <w:rPr>
                <w:rFonts w:hint="eastAsia" w:ascii="宋体" w:hAnsi="宋体" w:cs="宋体"/>
                <w:u w:val="single"/>
              </w:rPr>
              <w:t>25</w:t>
            </w:r>
            <w:r>
              <w:rPr>
                <w:rFonts w:hint="eastAsia" w:ascii="宋体" w:hAnsi="宋体" w:cs="宋体"/>
              </w:rPr>
              <w:t>分（权重25</w:t>
            </w:r>
            <w:r>
              <w:rPr>
                <w:rFonts w:hint="eastAsia" w:ascii="宋体" w:hAnsi="宋体" w:cs="宋体"/>
                <w:u w:val="single"/>
              </w:rPr>
              <w:t>%</w:t>
            </w:r>
            <w:r>
              <w:rPr>
                <w:rFonts w:hint="eastAsia" w:ascii="宋体" w:hAnsi="宋体" w:cs="宋体"/>
              </w:rPr>
              <w:t>）</w:t>
            </w:r>
          </w:p>
          <w:p w14:paraId="75176B90">
            <w:pPr>
              <w:snapToGrid w:val="0"/>
              <w:ind w:left="-78" w:leftChars="-37" w:right="-73" w:rightChars="-35"/>
              <w:jc w:val="center"/>
              <w:rPr>
                <w:rFonts w:ascii="宋体" w:hAnsi="宋体" w:cs="宋体"/>
              </w:rPr>
            </w:pPr>
            <w:r>
              <w:rPr>
                <w:rFonts w:hint="eastAsia" w:ascii="宋体" w:hAnsi="宋体" w:cs="宋体"/>
              </w:rPr>
              <w:t>价格部分：</w:t>
            </w:r>
            <w:r>
              <w:rPr>
                <w:rFonts w:hint="eastAsia" w:ascii="宋体" w:hAnsi="宋体" w:cs="宋体"/>
                <w:u w:val="single"/>
              </w:rPr>
              <w:t>30</w:t>
            </w:r>
            <w:r>
              <w:rPr>
                <w:rFonts w:hint="eastAsia" w:ascii="宋体" w:hAnsi="宋体" w:cs="宋体"/>
              </w:rPr>
              <w:t>分（权重</w:t>
            </w:r>
            <w:r>
              <w:rPr>
                <w:rFonts w:hint="eastAsia" w:ascii="宋体" w:hAnsi="宋体" w:cs="宋体"/>
                <w:u w:val="single"/>
              </w:rPr>
              <w:t>30</w:t>
            </w:r>
            <w:r>
              <w:rPr>
                <w:rFonts w:hint="eastAsia" w:ascii="宋体" w:hAnsi="宋体" w:cs="宋体"/>
              </w:rPr>
              <w:t>%）</w:t>
            </w:r>
          </w:p>
        </w:tc>
      </w:tr>
      <w:tr w14:paraId="065303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3" w:hRule="atLeast"/>
        </w:trPr>
        <w:tc>
          <w:tcPr>
            <w:tcW w:w="1997" w:type="dxa"/>
            <w:gridSpan w:val="2"/>
            <w:vAlign w:val="center"/>
          </w:tcPr>
          <w:p w14:paraId="0C0EC876">
            <w:pPr>
              <w:snapToGrid w:val="0"/>
              <w:jc w:val="center"/>
              <w:rPr>
                <w:rFonts w:ascii="宋体" w:hAnsi="宋体" w:cs="宋体"/>
              </w:rPr>
            </w:pPr>
            <w:r>
              <w:rPr>
                <w:rFonts w:hint="eastAsia" w:ascii="宋体" w:hAnsi="宋体" w:cs="宋体"/>
              </w:rPr>
              <w:t>综合得分计算公式</w:t>
            </w:r>
          </w:p>
        </w:tc>
        <w:tc>
          <w:tcPr>
            <w:tcW w:w="7240" w:type="dxa"/>
            <w:gridSpan w:val="4"/>
            <w:vAlign w:val="center"/>
          </w:tcPr>
          <w:p w14:paraId="047A0D65">
            <w:pPr>
              <w:widowControl/>
              <w:snapToGrid w:val="0"/>
              <w:jc w:val="center"/>
              <w:rPr>
                <w:rFonts w:ascii="宋体" w:hAnsi="宋体" w:cs="宋体"/>
              </w:rPr>
            </w:pPr>
            <w:r>
              <w:rPr>
                <w:rFonts w:hint="eastAsia" w:ascii="宋体" w:hAnsi="宋体" w:cs="宋体"/>
              </w:rPr>
              <w:t>综合得分＝技术部分得分＋商务部分得分+价格部分得分</w:t>
            </w:r>
          </w:p>
        </w:tc>
      </w:tr>
      <w:tr w14:paraId="570A2B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0" w:hRule="atLeast"/>
        </w:trPr>
        <w:tc>
          <w:tcPr>
            <w:tcW w:w="860" w:type="dxa"/>
            <w:tcBorders>
              <w:right w:val="single" w:color="auto" w:sz="4" w:space="0"/>
            </w:tcBorders>
            <w:vAlign w:val="center"/>
          </w:tcPr>
          <w:p w14:paraId="5920210E">
            <w:pPr>
              <w:snapToGrid w:val="0"/>
              <w:ind w:left="-78" w:leftChars="-37" w:right="-73" w:rightChars="-35"/>
              <w:jc w:val="center"/>
              <w:rPr>
                <w:rFonts w:ascii="宋体" w:hAnsi="宋体" w:cs="宋体"/>
                <w:b/>
              </w:rPr>
            </w:pPr>
            <w:r>
              <w:rPr>
                <w:rFonts w:hint="eastAsia" w:ascii="宋体" w:hAnsi="宋体" w:cs="宋体"/>
                <w:b/>
              </w:rPr>
              <w:t>序号</w:t>
            </w:r>
          </w:p>
        </w:tc>
        <w:tc>
          <w:tcPr>
            <w:tcW w:w="1137" w:type="dxa"/>
            <w:tcBorders>
              <w:left w:val="single" w:color="auto" w:sz="4" w:space="0"/>
            </w:tcBorders>
            <w:vAlign w:val="center"/>
          </w:tcPr>
          <w:p w14:paraId="0C64B81A">
            <w:pPr>
              <w:snapToGrid w:val="0"/>
              <w:ind w:left="-78" w:leftChars="-37" w:right="-73" w:rightChars="-35"/>
              <w:jc w:val="center"/>
              <w:rPr>
                <w:rFonts w:ascii="宋体" w:hAnsi="宋体" w:cs="宋体"/>
                <w:b/>
              </w:rPr>
            </w:pPr>
            <w:r>
              <w:rPr>
                <w:rFonts w:hint="eastAsia" w:ascii="宋体" w:hAnsi="宋体" w:cs="宋体"/>
                <w:b/>
              </w:rPr>
              <w:t>评审项目</w:t>
            </w:r>
          </w:p>
        </w:tc>
        <w:tc>
          <w:tcPr>
            <w:tcW w:w="675" w:type="dxa"/>
            <w:tcBorders>
              <w:right w:val="single" w:color="auto" w:sz="4" w:space="0"/>
            </w:tcBorders>
            <w:vAlign w:val="center"/>
          </w:tcPr>
          <w:p w14:paraId="41C703E3">
            <w:pPr>
              <w:snapToGrid w:val="0"/>
              <w:ind w:left="-78" w:leftChars="-37" w:right="-73" w:rightChars="-35"/>
              <w:jc w:val="center"/>
              <w:rPr>
                <w:rFonts w:ascii="宋体" w:hAnsi="宋体" w:cs="宋体"/>
                <w:b/>
              </w:rPr>
            </w:pPr>
            <w:r>
              <w:rPr>
                <w:rFonts w:hint="eastAsia" w:ascii="宋体" w:hAnsi="宋体" w:cs="宋体"/>
                <w:b/>
              </w:rPr>
              <w:t>分值</w:t>
            </w:r>
          </w:p>
        </w:tc>
        <w:tc>
          <w:tcPr>
            <w:tcW w:w="5235" w:type="dxa"/>
            <w:tcBorders>
              <w:left w:val="single" w:color="auto" w:sz="4" w:space="0"/>
            </w:tcBorders>
            <w:vAlign w:val="center"/>
          </w:tcPr>
          <w:p w14:paraId="1848C0E5">
            <w:pPr>
              <w:snapToGrid w:val="0"/>
              <w:ind w:left="-78" w:leftChars="-37" w:right="-73" w:rightChars="-35"/>
              <w:jc w:val="center"/>
              <w:rPr>
                <w:rFonts w:ascii="宋体" w:hAnsi="宋体" w:cs="宋体"/>
                <w:b/>
              </w:rPr>
            </w:pPr>
            <w:r>
              <w:rPr>
                <w:rFonts w:hint="eastAsia" w:ascii="宋体" w:hAnsi="宋体" w:cs="宋体"/>
                <w:b/>
              </w:rPr>
              <w:t>评分范围</w:t>
            </w:r>
          </w:p>
        </w:tc>
        <w:tc>
          <w:tcPr>
            <w:tcW w:w="800" w:type="dxa"/>
            <w:tcBorders>
              <w:left w:val="single" w:color="auto" w:sz="4" w:space="0"/>
            </w:tcBorders>
            <w:vAlign w:val="center"/>
          </w:tcPr>
          <w:p w14:paraId="73D27D34">
            <w:pPr>
              <w:snapToGrid w:val="0"/>
              <w:ind w:left="-78" w:leftChars="-37" w:right="-73" w:rightChars="-35"/>
              <w:jc w:val="center"/>
              <w:rPr>
                <w:rFonts w:ascii="宋体" w:hAnsi="宋体" w:cs="宋体"/>
                <w:b/>
              </w:rPr>
            </w:pPr>
          </w:p>
        </w:tc>
        <w:tc>
          <w:tcPr>
            <w:tcW w:w="530" w:type="dxa"/>
            <w:tcBorders>
              <w:left w:val="single" w:color="auto" w:sz="4" w:space="0"/>
            </w:tcBorders>
            <w:vAlign w:val="center"/>
          </w:tcPr>
          <w:p w14:paraId="4A322DB4">
            <w:pPr>
              <w:snapToGrid w:val="0"/>
              <w:ind w:left="-78" w:leftChars="-37" w:right="-73" w:rightChars="-35"/>
              <w:jc w:val="center"/>
              <w:rPr>
                <w:rFonts w:ascii="宋体" w:hAnsi="宋体" w:cs="宋体"/>
                <w:b/>
              </w:rPr>
            </w:pPr>
          </w:p>
        </w:tc>
      </w:tr>
      <w:tr w14:paraId="2C3004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6" w:hRule="atLeast"/>
        </w:trPr>
        <w:tc>
          <w:tcPr>
            <w:tcW w:w="860" w:type="dxa"/>
            <w:vAlign w:val="center"/>
          </w:tcPr>
          <w:p w14:paraId="148AF1A6">
            <w:pPr>
              <w:snapToGrid w:val="0"/>
              <w:ind w:left="-78" w:leftChars="-37" w:right="-73" w:rightChars="-35"/>
              <w:jc w:val="center"/>
              <w:rPr>
                <w:rFonts w:ascii="宋体" w:hAnsi="宋体" w:cs="宋体"/>
                <w:b/>
              </w:rPr>
            </w:pPr>
            <w:r>
              <w:rPr>
                <w:rFonts w:hint="eastAsia" w:ascii="宋体" w:hAnsi="宋体" w:cs="宋体"/>
                <w:b/>
              </w:rPr>
              <w:t>（一）</w:t>
            </w:r>
          </w:p>
        </w:tc>
        <w:tc>
          <w:tcPr>
            <w:tcW w:w="7047" w:type="dxa"/>
            <w:gridSpan w:val="3"/>
            <w:vAlign w:val="center"/>
          </w:tcPr>
          <w:p w14:paraId="3F3E2199">
            <w:pPr>
              <w:snapToGrid w:val="0"/>
              <w:ind w:left="-78" w:leftChars="-37" w:right="-73" w:rightChars="-35"/>
              <w:jc w:val="center"/>
              <w:rPr>
                <w:rFonts w:ascii="宋体" w:hAnsi="宋体" w:cs="宋体"/>
                <w:b/>
              </w:rPr>
            </w:pPr>
            <w:r>
              <w:rPr>
                <w:rFonts w:hint="eastAsia" w:ascii="宋体" w:hAnsi="宋体" w:cs="宋体"/>
                <w:b/>
              </w:rPr>
              <w:t>技术部分(小计45分)</w:t>
            </w:r>
          </w:p>
        </w:tc>
        <w:tc>
          <w:tcPr>
            <w:tcW w:w="800" w:type="dxa"/>
            <w:vAlign w:val="center"/>
          </w:tcPr>
          <w:p w14:paraId="59F949F9">
            <w:pPr>
              <w:snapToGrid w:val="0"/>
              <w:ind w:left="-78" w:leftChars="-37" w:right="-73" w:rightChars="-35"/>
              <w:jc w:val="center"/>
              <w:rPr>
                <w:rFonts w:ascii="宋体" w:hAnsi="宋体" w:cs="宋体"/>
                <w:b/>
              </w:rPr>
            </w:pPr>
            <w:r>
              <w:rPr>
                <w:rFonts w:hint="eastAsia" w:ascii="宋体" w:hAnsi="宋体" w:cs="宋体"/>
                <w:b/>
              </w:rPr>
              <w:t>得分</w:t>
            </w:r>
          </w:p>
        </w:tc>
        <w:tc>
          <w:tcPr>
            <w:tcW w:w="530" w:type="dxa"/>
            <w:vAlign w:val="center"/>
          </w:tcPr>
          <w:p w14:paraId="23443649">
            <w:pPr>
              <w:snapToGrid w:val="0"/>
              <w:ind w:left="-78" w:leftChars="-37" w:right="-73" w:rightChars="-35"/>
              <w:jc w:val="center"/>
              <w:rPr>
                <w:rFonts w:ascii="宋体" w:hAnsi="宋体" w:cs="宋体"/>
                <w:b/>
              </w:rPr>
            </w:pPr>
            <w:r>
              <w:rPr>
                <w:rFonts w:hint="eastAsia" w:ascii="宋体" w:hAnsi="宋体" w:cs="宋体"/>
                <w:b/>
              </w:rPr>
              <w:t>备注</w:t>
            </w:r>
          </w:p>
        </w:tc>
      </w:tr>
      <w:tr w14:paraId="6F3FEB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73" w:hRule="atLeast"/>
        </w:trPr>
        <w:tc>
          <w:tcPr>
            <w:tcW w:w="860" w:type="dxa"/>
            <w:vAlign w:val="center"/>
          </w:tcPr>
          <w:p w14:paraId="77377B81">
            <w:pPr>
              <w:numPr>
                <w:ilvl w:val="0"/>
                <w:numId w:val="1"/>
              </w:numPr>
              <w:snapToGrid w:val="0"/>
              <w:jc w:val="center"/>
              <w:rPr>
                <w:rFonts w:ascii="宋体" w:hAnsi="宋体" w:cs="宋体"/>
              </w:rPr>
            </w:pPr>
          </w:p>
        </w:tc>
        <w:tc>
          <w:tcPr>
            <w:tcW w:w="1137" w:type="dxa"/>
            <w:vAlign w:val="center"/>
          </w:tcPr>
          <w:p w14:paraId="65662885">
            <w:pPr>
              <w:snapToGrid w:val="0"/>
              <w:jc w:val="center"/>
              <w:rPr>
                <w:rFonts w:ascii="宋体" w:hAnsi="宋体" w:cs="宋体"/>
                <w:color w:val="FF0000"/>
              </w:rPr>
            </w:pPr>
            <w:r>
              <w:rPr>
                <w:rFonts w:hint="eastAsia" w:ascii="宋体" w:hAnsi="宋体" w:cs="宋体"/>
                <w:bCs/>
              </w:rPr>
              <w:t>对项目的研究方案</w:t>
            </w:r>
          </w:p>
        </w:tc>
        <w:tc>
          <w:tcPr>
            <w:tcW w:w="675" w:type="dxa"/>
            <w:vAlign w:val="center"/>
          </w:tcPr>
          <w:p w14:paraId="3358963E">
            <w:pPr>
              <w:snapToGrid w:val="0"/>
              <w:jc w:val="center"/>
              <w:rPr>
                <w:rFonts w:ascii="宋体" w:hAnsi="宋体" w:cs="宋体"/>
                <w:color w:val="FF0000"/>
              </w:rPr>
            </w:pPr>
            <w:r>
              <w:rPr>
                <w:rFonts w:hint="eastAsia" w:ascii="宋体" w:hAnsi="宋体" w:cs="宋体"/>
              </w:rPr>
              <w:t>20分</w:t>
            </w:r>
          </w:p>
        </w:tc>
        <w:tc>
          <w:tcPr>
            <w:tcW w:w="5235" w:type="dxa"/>
            <w:vAlign w:val="center"/>
          </w:tcPr>
          <w:p w14:paraId="091AE118">
            <w:pPr>
              <w:snapToGrid w:val="0"/>
              <w:rPr>
                <w:rFonts w:ascii="宋体" w:hAnsi="宋体"/>
              </w:rPr>
            </w:pPr>
            <w:r>
              <w:rPr>
                <w:rFonts w:hint="eastAsia" w:ascii="宋体" w:hAnsi="宋体"/>
              </w:rPr>
              <w:t>1. 对地质条件、边坡稳定性分析（10分）</w:t>
            </w:r>
          </w:p>
          <w:p w14:paraId="03C246FA">
            <w:pPr>
              <w:snapToGrid w:val="0"/>
              <w:rPr>
                <w:rFonts w:ascii="宋体" w:hAnsi="宋体"/>
              </w:rPr>
            </w:pPr>
            <w:r>
              <w:rPr>
                <w:rFonts w:hint="eastAsia" w:ascii="宋体" w:hAnsi="宋体"/>
              </w:rPr>
              <w:t xml:space="preserve">   - 对项目调研分析数据分析是较差（得0~3分）、一般（得4~6分）、较清晰、完整（得7~10分）</w:t>
            </w:r>
          </w:p>
          <w:p w14:paraId="02D6F5C9">
            <w:pPr>
              <w:snapToGrid w:val="0"/>
              <w:rPr>
                <w:rFonts w:ascii="宋体" w:hAnsi="宋体"/>
              </w:rPr>
            </w:pPr>
            <w:r>
              <w:rPr>
                <w:rFonts w:hint="eastAsia" w:ascii="宋体" w:hAnsi="宋体"/>
              </w:rPr>
              <w:t>2. 项目内容完整（5分）</w:t>
            </w:r>
          </w:p>
          <w:p w14:paraId="2357EF40">
            <w:pPr>
              <w:snapToGrid w:val="0"/>
              <w:rPr>
                <w:rFonts w:ascii="宋体" w:hAnsi="宋体"/>
              </w:rPr>
            </w:pPr>
            <w:r>
              <w:rPr>
                <w:rFonts w:hint="eastAsia" w:ascii="宋体" w:hAnsi="宋体"/>
              </w:rPr>
              <w:t xml:space="preserve">  包含新护坡、原挡墙加固、排水系统升级、配套设施(整、围墙)等全部内容（5分，每漏1项扣1分）</w:t>
            </w:r>
          </w:p>
          <w:p w14:paraId="3E04F2D0">
            <w:pPr>
              <w:snapToGrid w:val="0"/>
              <w:rPr>
                <w:rFonts w:ascii="宋体" w:hAnsi="宋体"/>
              </w:rPr>
            </w:pPr>
            <w:r>
              <w:rPr>
                <w:rFonts w:hint="eastAsia" w:hAnsi="宋体"/>
              </w:rPr>
              <w:t>3.</w:t>
            </w:r>
            <w:r>
              <w:rPr>
                <w:rFonts w:hint="eastAsia" w:ascii="宋体" w:hAnsi="宋体"/>
              </w:rPr>
              <w:t xml:space="preserve"> 实施可行性（5分）</w:t>
            </w:r>
          </w:p>
          <w:p w14:paraId="18DFE02B">
            <w:pPr>
              <w:snapToGrid w:val="0"/>
              <w:rPr>
                <w:rFonts w:ascii="宋体" w:hAnsi="宋体" w:cs="宋体"/>
                <w:color w:val="FF0000"/>
              </w:rPr>
            </w:pPr>
            <w:r>
              <w:rPr>
                <w:rFonts w:hint="eastAsia" w:ascii="宋体" w:hAnsi="宋体"/>
              </w:rPr>
              <w:t xml:space="preserve">  明确各专业衔接节点(如排水与挡墙加固接口)(3分)提供施工可行性说明(2分)</w:t>
            </w:r>
          </w:p>
        </w:tc>
        <w:tc>
          <w:tcPr>
            <w:tcW w:w="800" w:type="dxa"/>
            <w:vAlign w:val="center"/>
          </w:tcPr>
          <w:p w14:paraId="6173F75B">
            <w:pPr>
              <w:snapToGrid w:val="0"/>
              <w:rPr>
                <w:rFonts w:ascii="宋体" w:hAnsi="宋体"/>
              </w:rPr>
            </w:pPr>
          </w:p>
        </w:tc>
        <w:tc>
          <w:tcPr>
            <w:tcW w:w="530" w:type="dxa"/>
            <w:vAlign w:val="center"/>
          </w:tcPr>
          <w:p w14:paraId="0931D66B">
            <w:pPr>
              <w:snapToGrid w:val="0"/>
              <w:rPr>
                <w:rFonts w:ascii="宋体" w:hAnsi="宋体"/>
              </w:rPr>
            </w:pPr>
          </w:p>
        </w:tc>
      </w:tr>
      <w:tr w14:paraId="1B38AC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3" w:hRule="atLeast"/>
        </w:trPr>
        <w:tc>
          <w:tcPr>
            <w:tcW w:w="860" w:type="dxa"/>
            <w:vAlign w:val="center"/>
          </w:tcPr>
          <w:p w14:paraId="5AEE9283">
            <w:pPr>
              <w:numPr>
                <w:ilvl w:val="0"/>
                <w:numId w:val="1"/>
              </w:numPr>
              <w:snapToGrid w:val="0"/>
              <w:jc w:val="center"/>
              <w:rPr>
                <w:rFonts w:ascii="宋体" w:hAnsi="宋体" w:cs="宋体"/>
              </w:rPr>
            </w:pPr>
          </w:p>
        </w:tc>
        <w:tc>
          <w:tcPr>
            <w:tcW w:w="1137" w:type="dxa"/>
            <w:vAlign w:val="center"/>
          </w:tcPr>
          <w:p w14:paraId="588C1332">
            <w:pPr>
              <w:snapToGrid w:val="0"/>
              <w:jc w:val="center"/>
              <w:rPr>
                <w:rFonts w:ascii="宋体" w:hAnsi="宋体" w:cs="宋体"/>
                <w:bCs/>
              </w:rPr>
            </w:pPr>
            <w:r>
              <w:rPr>
                <w:rFonts w:hint="eastAsia" w:ascii="宋体" w:hAnsi="宋体" w:cs="宋体"/>
                <w:bCs/>
              </w:rPr>
              <w:t>对项目的工作计划</w:t>
            </w:r>
          </w:p>
        </w:tc>
        <w:tc>
          <w:tcPr>
            <w:tcW w:w="675" w:type="dxa"/>
            <w:vAlign w:val="center"/>
          </w:tcPr>
          <w:p w14:paraId="5C0D3DEA">
            <w:pPr>
              <w:snapToGrid w:val="0"/>
              <w:jc w:val="center"/>
              <w:rPr>
                <w:rFonts w:ascii="宋体" w:hAnsi="宋体" w:cs="宋体"/>
                <w:color w:val="FF0000"/>
              </w:rPr>
            </w:pPr>
            <w:r>
              <w:rPr>
                <w:rFonts w:hint="eastAsia" w:ascii="宋体" w:hAnsi="宋体" w:cs="宋体"/>
              </w:rPr>
              <w:t>10分</w:t>
            </w:r>
          </w:p>
        </w:tc>
        <w:tc>
          <w:tcPr>
            <w:tcW w:w="5235" w:type="dxa"/>
            <w:vAlign w:val="center"/>
          </w:tcPr>
          <w:p w14:paraId="4F82C586">
            <w:pPr>
              <w:snapToGrid w:val="0"/>
              <w:rPr>
                <w:rFonts w:ascii="宋体" w:hAnsi="宋体"/>
              </w:rPr>
            </w:pPr>
            <w:r>
              <w:rPr>
                <w:rFonts w:hint="eastAsia" w:ascii="宋体" w:hAnsi="宋体"/>
              </w:rPr>
              <w:t>根据各响应供应商的进度安排合理性进行评审</w:t>
            </w:r>
            <w:r>
              <w:rPr>
                <w:rFonts w:hint="eastAsia" w:ascii="宋体" w:hAnsi="宋体" w:cs="宋体"/>
              </w:rPr>
              <w:t>：</w:t>
            </w:r>
          </w:p>
          <w:p w14:paraId="10EEED09">
            <w:pPr>
              <w:snapToGrid w:val="0"/>
              <w:rPr>
                <w:rFonts w:ascii="宋体" w:hAnsi="宋体"/>
              </w:rPr>
            </w:pPr>
            <w:r>
              <w:rPr>
                <w:rFonts w:hint="eastAsia" w:ascii="宋体" w:hAnsi="宋体"/>
              </w:rPr>
              <w:t>1）工作安排合理、进度计划满足项目进度的要求、采用的技术手段先进，得10分；</w:t>
            </w:r>
          </w:p>
          <w:p w14:paraId="6DD93155">
            <w:pPr>
              <w:snapToGrid w:val="0"/>
              <w:rPr>
                <w:rFonts w:ascii="宋体" w:hAnsi="宋体"/>
              </w:rPr>
            </w:pPr>
            <w:r>
              <w:rPr>
                <w:rFonts w:hint="eastAsia" w:ascii="宋体" w:hAnsi="宋体"/>
              </w:rPr>
              <w:t>2）工作安排较合理、进度计划较满足项目进度的要求、采用的技术手段较先进，得5分；</w:t>
            </w:r>
          </w:p>
          <w:p w14:paraId="75ABDE2A">
            <w:pPr>
              <w:snapToGrid w:val="0"/>
              <w:rPr>
                <w:rFonts w:ascii="宋体" w:hAnsi="宋体"/>
              </w:rPr>
            </w:pPr>
            <w:r>
              <w:rPr>
                <w:rFonts w:hint="eastAsia" w:ascii="宋体" w:hAnsi="宋体"/>
              </w:rPr>
              <w:t>3）工作安排合理性一般、进度计划基本满足项目进度的要求、采用的技术手段一般，得3分</w:t>
            </w:r>
          </w:p>
          <w:p w14:paraId="7F516383">
            <w:pPr>
              <w:snapToGrid w:val="0"/>
              <w:rPr>
                <w:rFonts w:ascii="宋体" w:hAnsi="宋体"/>
              </w:rPr>
            </w:pPr>
            <w:r>
              <w:rPr>
                <w:rFonts w:hint="eastAsia" w:ascii="宋体" w:hAnsi="宋体"/>
              </w:rPr>
              <w:t>4）工作安排不合理、进度计划不能满足项目进度的要求、采用的技术手段差，得1分；</w:t>
            </w:r>
          </w:p>
          <w:p w14:paraId="37EE31C2">
            <w:pPr>
              <w:snapToGrid w:val="0"/>
              <w:rPr>
                <w:rFonts w:ascii="宋体" w:hAnsi="宋体" w:cs="宋体"/>
                <w:color w:val="FF0000"/>
              </w:rPr>
            </w:pPr>
            <w:r>
              <w:rPr>
                <w:rFonts w:hint="eastAsia" w:ascii="宋体" w:hAnsi="宋体"/>
              </w:rPr>
              <w:t>5）无相关描述不得分。</w:t>
            </w:r>
          </w:p>
        </w:tc>
        <w:tc>
          <w:tcPr>
            <w:tcW w:w="800" w:type="dxa"/>
            <w:vAlign w:val="center"/>
          </w:tcPr>
          <w:p w14:paraId="14F65117">
            <w:pPr>
              <w:snapToGrid w:val="0"/>
              <w:rPr>
                <w:rFonts w:ascii="宋体" w:hAnsi="宋体"/>
              </w:rPr>
            </w:pPr>
          </w:p>
        </w:tc>
        <w:tc>
          <w:tcPr>
            <w:tcW w:w="530" w:type="dxa"/>
            <w:vAlign w:val="center"/>
          </w:tcPr>
          <w:p w14:paraId="454DFA06">
            <w:pPr>
              <w:snapToGrid w:val="0"/>
              <w:rPr>
                <w:rFonts w:ascii="宋体" w:hAnsi="宋体"/>
              </w:rPr>
            </w:pPr>
          </w:p>
        </w:tc>
      </w:tr>
      <w:tr w14:paraId="7188E0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07" w:hRule="atLeast"/>
        </w:trPr>
        <w:tc>
          <w:tcPr>
            <w:tcW w:w="860" w:type="dxa"/>
            <w:vAlign w:val="center"/>
          </w:tcPr>
          <w:p w14:paraId="0357CED8">
            <w:pPr>
              <w:numPr>
                <w:ilvl w:val="0"/>
                <w:numId w:val="1"/>
              </w:numPr>
              <w:snapToGrid w:val="0"/>
              <w:jc w:val="center"/>
              <w:rPr>
                <w:rFonts w:ascii="宋体" w:hAnsi="宋体" w:cs="宋体"/>
              </w:rPr>
            </w:pPr>
          </w:p>
        </w:tc>
        <w:tc>
          <w:tcPr>
            <w:tcW w:w="1137" w:type="dxa"/>
            <w:vAlign w:val="center"/>
          </w:tcPr>
          <w:p w14:paraId="2CB46E37">
            <w:pPr>
              <w:snapToGrid w:val="0"/>
              <w:jc w:val="center"/>
              <w:rPr>
                <w:rFonts w:ascii="宋体" w:hAnsi="宋体" w:cs="宋体"/>
                <w:bCs/>
              </w:rPr>
            </w:pPr>
            <w:r>
              <w:rPr>
                <w:rFonts w:hint="eastAsia" w:ascii="宋体" w:hAnsi="宋体" w:cs="宋体"/>
                <w:bCs/>
              </w:rPr>
              <w:t>设计质量管理措施和后续服务承诺</w:t>
            </w:r>
          </w:p>
        </w:tc>
        <w:tc>
          <w:tcPr>
            <w:tcW w:w="675" w:type="dxa"/>
            <w:vAlign w:val="center"/>
          </w:tcPr>
          <w:p w14:paraId="4A15B2D7">
            <w:pPr>
              <w:snapToGrid w:val="0"/>
              <w:jc w:val="center"/>
              <w:rPr>
                <w:rFonts w:ascii="宋体" w:hAnsi="宋体" w:cs="宋体"/>
                <w:color w:val="FF0000"/>
              </w:rPr>
            </w:pPr>
            <w:r>
              <w:rPr>
                <w:rFonts w:hint="eastAsia" w:ascii="宋体" w:hAnsi="宋体" w:cs="宋体"/>
              </w:rPr>
              <w:t>10分</w:t>
            </w:r>
          </w:p>
        </w:tc>
        <w:tc>
          <w:tcPr>
            <w:tcW w:w="5235" w:type="dxa"/>
            <w:vAlign w:val="center"/>
          </w:tcPr>
          <w:p w14:paraId="494D00B6">
            <w:pPr>
              <w:snapToGrid w:val="0"/>
              <w:rPr>
                <w:rFonts w:ascii="宋体" w:hAnsi="宋体"/>
              </w:rPr>
            </w:pPr>
            <w:r>
              <w:rPr>
                <w:rFonts w:hint="eastAsia" w:ascii="宋体" w:hAnsi="宋体"/>
              </w:rPr>
              <w:t>根据各响应供应商的方案进行评审</w:t>
            </w:r>
            <w:r>
              <w:rPr>
                <w:rFonts w:hint="eastAsia" w:ascii="宋体" w:hAnsi="宋体" w:cs="宋体"/>
              </w:rPr>
              <w:t>：</w:t>
            </w:r>
          </w:p>
          <w:p w14:paraId="431CE3F0">
            <w:pPr>
              <w:snapToGrid w:val="0"/>
              <w:rPr>
                <w:rFonts w:ascii="宋体" w:hAnsi="宋体"/>
              </w:rPr>
            </w:pPr>
            <w:r>
              <w:rPr>
                <w:rFonts w:hint="eastAsia" w:ascii="宋体" w:hAnsi="宋体"/>
              </w:rPr>
              <w:t>1）对项目设计报告质量管理措施、后续服务措施的合理性强、提供3年免费设计咨询服务，得10分；</w:t>
            </w:r>
          </w:p>
          <w:p w14:paraId="60E969B7">
            <w:pPr>
              <w:snapToGrid w:val="0"/>
              <w:rPr>
                <w:rFonts w:ascii="宋体" w:hAnsi="宋体"/>
              </w:rPr>
            </w:pPr>
            <w:r>
              <w:rPr>
                <w:rFonts w:hint="eastAsia" w:ascii="宋体" w:hAnsi="宋体"/>
              </w:rPr>
              <w:t>2）对项目设计报告质量管理措施、后续服务措施的合理性较强、提供2年免费设计咨询服务，得7分；</w:t>
            </w:r>
          </w:p>
          <w:p w14:paraId="14A1B331">
            <w:pPr>
              <w:snapToGrid w:val="0"/>
              <w:rPr>
                <w:rFonts w:ascii="宋体" w:hAnsi="宋体"/>
              </w:rPr>
            </w:pPr>
            <w:r>
              <w:rPr>
                <w:rFonts w:hint="eastAsia" w:ascii="宋体" w:hAnsi="宋体"/>
              </w:rPr>
              <w:t>3）对项目设计报告质量管理措施、后续服务措施的合理性一般、提供1年免费设计咨询服务，得4分</w:t>
            </w:r>
          </w:p>
          <w:p w14:paraId="681B94FB">
            <w:pPr>
              <w:snapToGrid w:val="0"/>
              <w:rPr>
                <w:rFonts w:ascii="宋体" w:hAnsi="宋体"/>
              </w:rPr>
            </w:pPr>
            <w:r>
              <w:rPr>
                <w:rFonts w:hint="eastAsia" w:ascii="宋体" w:hAnsi="宋体"/>
              </w:rPr>
              <w:t>4）对项目设计报告质量管理措施、后续服务措施的合理性较差、无提供免费设计咨询服务，得1分；</w:t>
            </w:r>
          </w:p>
          <w:p w14:paraId="380E0FE0">
            <w:pPr>
              <w:snapToGrid w:val="0"/>
              <w:rPr>
                <w:rFonts w:ascii="宋体" w:hAnsi="宋体" w:cs="宋体"/>
                <w:color w:val="FF0000"/>
              </w:rPr>
            </w:pPr>
            <w:r>
              <w:rPr>
                <w:rFonts w:hint="eastAsia" w:ascii="宋体" w:hAnsi="宋体"/>
              </w:rPr>
              <w:t>5）无相关描述不得分。</w:t>
            </w:r>
          </w:p>
        </w:tc>
        <w:tc>
          <w:tcPr>
            <w:tcW w:w="800" w:type="dxa"/>
            <w:vAlign w:val="center"/>
          </w:tcPr>
          <w:p w14:paraId="7FDE4DB7">
            <w:pPr>
              <w:snapToGrid w:val="0"/>
              <w:rPr>
                <w:rFonts w:ascii="宋体" w:hAnsi="宋体"/>
              </w:rPr>
            </w:pPr>
          </w:p>
        </w:tc>
        <w:tc>
          <w:tcPr>
            <w:tcW w:w="530" w:type="dxa"/>
            <w:vAlign w:val="center"/>
          </w:tcPr>
          <w:p w14:paraId="1DD72376">
            <w:pPr>
              <w:snapToGrid w:val="0"/>
              <w:rPr>
                <w:rFonts w:ascii="宋体" w:hAnsi="宋体"/>
              </w:rPr>
            </w:pPr>
          </w:p>
        </w:tc>
      </w:tr>
      <w:tr w14:paraId="3D79A6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00" w:hRule="atLeast"/>
        </w:trPr>
        <w:tc>
          <w:tcPr>
            <w:tcW w:w="860" w:type="dxa"/>
            <w:vAlign w:val="center"/>
          </w:tcPr>
          <w:p w14:paraId="3724687E">
            <w:pPr>
              <w:numPr>
                <w:ilvl w:val="0"/>
                <w:numId w:val="1"/>
              </w:numPr>
              <w:snapToGrid w:val="0"/>
              <w:jc w:val="center"/>
              <w:rPr>
                <w:rFonts w:ascii="宋体" w:hAnsi="宋体" w:cs="宋体"/>
              </w:rPr>
            </w:pPr>
          </w:p>
        </w:tc>
        <w:tc>
          <w:tcPr>
            <w:tcW w:w="1137" w:type="dxa"/>
            <w:vAlign w:val="center"/>
          </w:tcPr>
          <w:p w14:paraId="040237C2">
            <w:pPr>
              <w:snapToGrid w:val="0"/>
              <w:jc w:val="center"/>
              <w:rPr>
                <w:rFonts w:ascii="宋体" w:hAnsi="宋体" w:cs="宋体"/>
              </w:rPr>
            </w:pPr>
            <w:r>
              <w:rPr>
                <w:rFonts w:hint="eastAsia" w:ascii="宋体" w:hAnsi="宋体" w:cs="宋体"/>
              </w:rPr>
              <w:t>对项目进度保证措施</w:t>
            </w:r>
          </w:p>
        </w:tc>
        <w:tc>
          <w:tcPr>
            <w:tcW w:w="675" w:type="dxa"/>
            <w:vAlign w:val="center"/>
          </w:tcPr>
          <w:p w14:paraId="6953C395">
            <w:pPr>
              <w:snapToGrid w:val="0"/>
              <w:jc w:val="center"/>
              <w:rPr>
                <w:rFonts w:ascii="宋体" w:hAnsi="宋体" w:cs="宋体"/>
                <w:color w:val="FF0000"/>
              </w:rPr>
            </w:pPr>
            <w:r>
              <w:rPr>
                <w:rFonts w:hint="eastAsia" w:ascii="宋体" w:hAnsi="宋体" w:cs="宋体"/>
              </w:rPr>
              <w:t>5分</w:t>
            </w:r>
          </w:p>
        </w:tc>
        <w:tc>
          <w:tcPr>
            <w:tcW w:w="5235" w:type="dxa"/>
            <w:vAlign w:val="center"/>
          </w:tcPr>
          <w:p w14:paraId="541F7E1B">
            <w:pPr>
              <w:snapToGrid w:val="0"/>
              <w:rPr>
                <w:rFonts w:ascii="宋体" w:hAnsi="宋体" w:cs="宋体"/>
              </w:rPr>
            </w:pPr>
            <w:r>
              <w:rPr>
                <w:rFonts w:hint="eastAsia" w:ascii="宋体" w:hAnsi="宋体" w:cs="宋体"/>
              </w:rPr>
              <w:t>根据各响应供应商的方案进行评审：</w:t>
            </w:r>
          </w:p>
          <w:p w14:paraId="426AF9C1">
            <w:pPr>
              <w:snapToGrid w:val="0"/>
              <w:rPr>
                <w:rFonts w:ascii="宋体" w:hAnsi="宋体"/>
              </w:rPr>
            </w:pPr>
            <w:r>
              <w:rPr>
                <w:rFonts w:hint="eastAsia" w:ascii="宋体" w:hAnsi="宋体"/>
              </w:rPr>
              <w:t>1）提供赶工措施完善、合理的，得5分；</w:t>
            </w:r>
          </w:p>
          <w:p w14:paraId="480D47AA">
            <w:pPr>
              <w:snapToGrid w:val="0"/>
              <w:rPr>
                <w:rFonts w:ascii="宋体" w:hAnsi="宋体"/>
              </w:rPr>
            </w:pPr>
            <w:r>
              <w:rPr>
                <w:rFonts w:hint="eastAsia" w:ascii="宋体" w:hAnsi="宋体"/>
              </w:rPr>
              <w:t>2）提供赶工措施较完善、合理的，得3分；</w:t>
            </w:r>
          </w:p>
          <w:p w14:paraId="5F75D52A">
            <w:pPr>
              <w:snapToGrid w:val="0"/>
              <w:rPr>
                <w:rFonts w:ascii="宋体" w:hAnsi="宋体"/>
              </w:rPr>
            </w:pPr>
            <w:r>
              <w:rPr>
                <w:rFonts w:hint="eastAsia" w:ascii="宋体" w:hAnsi="宋体"/>
              </w:rPr>
              <w:t>3）提供赶工措施合理性一般的，得2分</w:t>
            </w:r>
          </w:p>
          <w:p w14:paraId="1A4842D8">
            <w:pPr>
              <w:snapToGrid w:val="0"/>
              <w:rPr>
                <w:rFonts w:ascii="宋体" w:hAnsi="宋体"/>
              </w:rPr>
            </w:pPr>
            <w:r>
              <w:rPr>
                <w:rFonts w:hint="eastAsia" w:ascii="宋体" w:hAnsi="宋体"/>
              </w:rPr>
              <w:t>4）提供赶工措施合理性较差的，得1分；</w:t>
            </w:r>
          </w:p>
          <w:p w14:paraId="4997A49C">
            <w:pPr>
              <w:snapToGrid w:val="0"/>
              <w:rPr>
                <w:rFonts w:ascii="宋体" w:hAnsi="宋体" w:cs="宋体"/>
                <w:color w:val="FF0000"/>
              </w:rPr>
            </w:pPr>
            <w:r>
              <w:rPr>
                <w:rFonts w:hint="eastAsia" w:ascii="宋体" w:hAnsi="宋体"/>
              </w:rPr>
              <w:t>5）无相关描述不得分。</w:t>
            </w:r>
          </w:p>
        </w:tc>
        <w:tc>
          <w:tcPr>
            <w:tcW w:w="800" w:type="dxa"/>
            <w:vAlign w:val="center"/>
          </w:tcPr>
          <w:p w14:paraId="575D5D5F">
            <w:pPr>
              <w:snapToGrid w:val="0"/>
              <w:rPr>
                <w:rFonts w:ascii="宋体" w:hAnsi="宋体"/>
              </w:rPr>
            </w:pPr>
          </w:p>
        </w:tc>
        <w:tc>
          <w:tcPr>
            <w:tcW w:w="530" w:type="dxa"/>
            <w:vAlign w:val="center"/>
          </w:tcPr>
          <w:p w14:paraId="32F1A0A3">
            <w:pPr>
              <w:snapToGrid w:val="0"/>
              <w:rPr>
                <w:rFonts w:ascii="宋体" w:hAnsi="宋体"/>
              </w:rPr>
            </w:pPr>
          </w:p>
        </w:tc>
      </w:tr>
      <w:tr w14:paraId="2ADAAB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860" w:type="dxa"/>
            <w:tcBorders>
              <w:top w:val="single" w:color="auto" w:sz="4" w:space="0"/>
            </w:tcBorders>
            <w:vAlign w:val="center"/>
          </w:tcPr>
          <w:p w14:paraId="0B6FA1CC">
            <w:pPr>
              <w:snapToGrid w:val="0"/>
              <w:jc w:val="center"/>
              <w:rPr>
                <w:rFonts w:ascii="宋体" w:hAnsi="宋体" w:cs="宋体"/>
                <w:b/>
              </w:rPr>
            </w:pPr>
            <w:r>
              <w:rPr>
                <w:rFonts w:hint="eastAsia" w:ascii="宋体" w:hAnsi="宋体" w:cs="宋体"/>
                <w:b/>
              </w:rPr>
              <w:t>（二）</w:t>
            </w:r>
          </w:p>
        </w:tc>
        <w:tc>
          <w:tcPr>
            <w:tcW w:w="7047" w:type="dxa"/>
            <w:gridSpan w:val="3"/>
            <w:vAlign w:val="center"/>
          </w:tcPr>
          <w:p w14:paraId="6E51581E">
            <w:pPr>
              <w:snapToGrid w:val="0"/>
              <w:ind w:left="-78" w:leftChars="-37" w:right="-73" w:rightChars="-35"/>
              <w:jc w:val="center"/>
              <w:rPr>
                <w:rFonts w:ascii="宋体" w:hAnsi="宋体" w:cs="宋体"/>
                <w:b/>
              </w:rPr>
            </w:pPr>
            <w:r>
              <w:rPr>
                <w:rFonts w:hint="eastAsia" w:ascii="宋体" w:hAnsi="宋体" w:cs="宋体"/>
                <w:b/>
              </w:rPr>
              <w:t>服务部分(小计25分)</w:t>
            </w:r>
          </w:p>
        </w:tc>
        <w:tc>
          <w:tcPr>
            <w:tcW w:w="800" w:type="dxa"/>
            <w:vAlign w:val="center"/>
          </w:tcPr>
          <w:p w14:paraId="788A0E08">
            <w:pPr>
              <w:snapToGrid w:val="0"/>
              <w:ind w:left="-78" w:leftChars="-37" w:right="-73" w:rightChars="-35"/>
              <w:jc w:val="center"/>
              <w:rPr>
                <w:rFonts w:ascii="宋体" w:hAnsi="宋体" w:cs="宋体"/>
                <w:b/>
              </w:rPr>
            </w:pPr>
          </w:p>
        </w:tc>
        <w:tc>
          <w:tcPr>
            <w:tcW w:w="530" w:type="dxa"/>
            <w:vAlign w:val="center"/>
          </w:tcPr>
          <w:p w14:paraId="3E3D3C02">
            <w:pPr>
              <w:snapToGrid w:val="0"/>
              <w:ind w:left="-78" w:leftChars="-37" w:right="-73" w:rightChars="-35"/>
              <w:jc w:val="center"/>
              <w:rPr>
                <w:rFonts w:ascii="宋体" w:hAnsi="宋体" w:cs="宋体"/>
                <w:b/>
              </w:rPr>
            </w:pPr>
          </w:p>
        </w:tc>
      </w:tr>
      <w:tr w14:paraId="51B8B2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13" w:hRule="atLeast"/>
        </w:trPr>
        <w:tc>
          <w:tcPr>
            <w:tcW w:w="860" w:type="dxa"/>
            <w:tcBorders>
              <w:bottom w:val="single" w:color="auto" w:sz="4" w:space="0"/>
            </w:tcBorders>
            <w:vAlign w:val="center"/>
          </w:tcPr>
          <w:p w14:paraId="71EA9763">
            <w:pPr>
              <w:numPr>
                <w:ilvl w:val="0"/>
                <w:numId w:val="2"/>
              </w:numPr>
              <w:snapToGrid w:val="0"/>
              <w:jc w:val="center"/>
              <w:rPr>
                <w:rFonts w:ascii="宋体" w:hAnsi="宋体" w:cs="宋体"/>
              </w:rPr>
            </w:pPr>
          </w:p>
        </w:tc>
        <w:tc>
          <w:tcPr>
            <w:tcW w:w="1137" w:type="dxa"/>
            <w:vAlign w:val="center"/>
          </w:tcPr>
          <w:p w14:paraId="75CE22CF">
            <w:pPr>
              <w:snapToGrid w:val="0"/>
              <w:jc w:val="center"/>
              <w:rPr>
                <w:rFonts w:ascii="宋体" w:hAnsi="宋体"/>
                <w:szCs w:val="24"/>
                <w:shd w:val="clear" w:color="auto" w:fill="FFFFFF"/>
              </w:rPr>
            </w:pPr>
            <w:r>
              <w:rPr>
                <w:rFonts w:hint="eastAsia" w:ascii="宋体" w:hAnsi="宋体"/>
                <w:szCs w:val="24"/>
                <w:shd w:val="clear" w:color="auto" w:fill="FFFFFF"/>
              </w:rPr>
              <w:t>本项目拟派项目负责人综合实力</w:t>
            </w:r>
          </w:p>
        </w:tc>
        <w:tc>
          <w:tcPr>
            <w:tcW w:w="675" w:type="dxa"/>
            <w:vAlign w:val="center"/>
          </w:tcPr>
          <w:p w14:paraId="3D9562B5">
            <w:pPr>
              <w:widowControl/>
              <w:snapToGrid w:val="0"/>
              <w:jc w:val="center"/>
              <w:rPr>
                <w:rFonts w:ascii="宋体" w:hAnsi="宋体" w:cs="宋体"/>
              </w:rPr>
            </w:pPr>
            <w:r>
              <w:rPr>
                <w:rFonts w:hint="eastAsia" w:ascii="宋体" w:hAnsi="宋体" w:cs="宋体"/>
              </w:rPr>
              <w:t>5分</w:t>
            </w:r>
          </w:p>
        </w:tc>
        <w:tc>
          <w:tcPr>
            <w:tcW w:w="5235" w:type="dxa"/>
            <w:vAlign w:val="center"/>
          </w:tcPr>
          <w:p w14:paraId="660EB10E">
            <w:pPr>
              <w:snapToGrid w:val="0"/>
              <w:rPr>
                <w:rFonts w:ascii="宋体" w:hAnsi="宋体"/>
              </w:rPr>
            </w:pPr>
            <w:r>
              <w:rPr>
                <w:rFonts w:hint="eastAsia" w:ascii="宋体" w:hAnsi="宋体"/>
              </w:rPr>
              <w:t>拟投入本项目的项目负责人：</w:t>
            </w:r>
          </w:p>
          <w:p w14:paraId="3997D9AF">
            <w:pPr>
              <w:snapToGrid w:val="0"/>
              <w:rPr>
                <w:rFonts w:hint="eastAsia" w:ascii="宋体" w:hAnsi="宋体"/>
              </w:rPr>
            </w:pPr>
            <w:r>
              <w:rPr>
                <w:rFonts w:hint="eastAsia" w:ascii="宋体" w:hAnsi="宋体"/>
              </w:rPr>
              <w:t>1）具有工程设计类正高级工程师职称的，得2.5分；具有工程设计类副高级工程师职称的，得2.0分；具有工程设计类中级工程师职称的，得1.0分。</w:t>
            </w:r>
          </w:p>
          <w:p w14:paraId="13D3C05A">
            <w:pPr>
              <w:snapToGrid w:val="0"/>
              <w:rPr>
                <w:rFonts w:ascii="宋体" w:hAnsi="宋体"/>
              </w:rPr>
            </w:pPr>
            <w:r>
              <w:rPr>
                <w:rFonts w:hint="eastAsia" w:ascii="宋体" w:hAnsi="宋体"/>
              </w:rPr>
              <w:t>2）具有注册土木工程师（岩土）执业资格证书的，得2.5分；</w:t>
            </w:r>
          </w:p>
          <w:p w14:paraId="4E68369C">
            <w:pPr>
              <w:snapToGrid w:val="0"/>
              <w:rPr>
                <w:rFonts w:ascii="宋体" w:hAnsi="宋体"/>
              </w:rPr>
            </w:pPr>
            <w:r>
              <w:rPr>
                <w:rFonts w:hint="eastAsia" w:ascii="宋体" w:hAnsi="宋体"/>
              </w:rPr>
              <w:t>本项最高得5分。</w:t>
            </w:r>
          </w:p>
          <w:p w14:paraId="12BF3C42">
            <w:pPr>
              <w:snapToGrid w:val="0"/>
              <w:rPr>
                <w:rFonts w:ascii="宋体" w:hAnsi="宋体" w:cs="宋体"/>
              </w:rPr>
            </w:pPr>
            <w:r>
              <w:rPr>
                <w:rFonts w:hint="eastAsia" w:ascii="宋体" w:hAnsi="宋体"/>
              </w:rPr>
              <w:t>注：需提供2022年1月以后任意一个月的社保证明材料复印件及职称证书、资格证书复印件加盖公章作为评分依据，不提供不得分。</w:t>
            </w:r>
          </w:p>
        </w:tc>
        <w:tc>
          <w:tcPr>
            <w:tcW w:w="800" w:type="dxa"/>
            <w:vAlign w:val="center"/>
          </w:tcPr>
          <w:p w14:paraId="266F5CAF">
            <w:pPr>
              <w:snapToGrid w:val="0"/>
              <w:rPr>
                <w:rFonts w:ascii="宋体" w:hAnsi="宋体"/>
              </w:rPr>
            </w:pPr>
          </w:p>
        </w:tc>
        <w:tc>
          <w:tcPr>
            <w:tcW w:w="530" w:type="dxa"/>
            <w:vAlign w:val="center"/>
          </w:tcPr>
          <w:p w14:paraId="013566B8">
            <w:pPr>
              <w:snapToGrid w:val="0"/>
              <w:rPr>
                <w:rFonts w:ascii="宋体" w:hAnsi="宋体"/>
              </w:rPr>
            </w:pPr>
          </w:p>
        </w:tc>
      </w:tr>
      <w:tr w14:paraId="4FC1F5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47" w:hRule="atLeast"/>
        </w:trPr>
        <w:tc>
          <w:tcPr>
            <w:tcW w:w="860" w:type="dxa"/>
            <w:tcBorders>
              <w:top w:val="single" w:color="auto" w:sz="4" w:space="0"/>
            </w:tcBorders>
            <w:vAlign w:val="center"/>
          </w:tcPr>
          <w:p w14:paraId="6C8540BD">
            <w:pPr>
              <w:numPr>
                <w:ilvl w:val="0"/>
                <w:numId w:val="2"/>
              </w:numPr>
              <w:snapToGrid w:val="0"/>
              <w:jc w:val="center"/>
              <w:rPr>
                <w:rFonts w:ascii="宋体" w:hAnsi="宋体" w:cs="宋体"/>
              </w:rPr>
            </w:pPr>
          </w:p>
        </w:tc>
        <w:tc>
          <w:tcPr>
            <w:tcW w:w="1137" w:type="dxa"/>
            <w:vAlign w:val="center"/>
          </w:tcPr>
          <w:p w14:paraId="0F6E006D">
            <w:pPr>
              <w:snapToGrid w:val="0"/>
              <w:jc w:val="center"/>
              <w:rPr>
                <w:rFonts w:ascii="宋体" w:hAnsi="宋体"/>
                <w:szCs w:val="24"/>
                <w:shd w:val="clear" w:color="auto" w:fill="FFFFFF"/>
              </w:rPr>
            </w:pPr>
            <w:r>
              <w:rPr>
                <w:rFonts w:hint="eastAsia" w:ascii="宋体" w:hAnsi="宋体"/>
                <w:szCs w:val="24"/>
                <w:shd w:val="clear" w:color="auto" w:fill="FFFFFF"/>
              </w:rPr>
              <w:t>拟投入本项目技术人员综合实力</w:t>
            </w:r>
          </w:p>
        </w:tc>
        <w:tc>
          <w:tcPr>
            <w:tcW w:w="675" w:type="dxa"/>
            <w:vAlign w:val="center"/>
          </w:tcPr>
          <w:p w14:paraId="12BA97B9">
            <w:pPr>
              <w:snapToGrid w:val="0"/>
              <w:jc w:val="center"/>
              <w:rPr>
                <w:rFonts w:ascii="宋体" w:hAnsi="宋体"/>
                <w:szCs w:val="24"/>
                <w:shd w:val="clear" w:color="auto" w:fill="FFFFFF"/>
              </w:rPr>
            </w:pPr>
            <w:r>
              <w:rPr>
                <w:rFonts w:hint="eastAsia" w:ascii="宋体" w:hAnsi="宋体"/>
                <w:szCs w:val="24"/>
                <w:shd w:val="clear" w:color="auto" w:fill="FFFFFF"/>
              </w:rPr>
              <w:t>5分</w:t>
            </w:r>
          </w:p>
        </w:tc>
        <w:tc>
          <w:tcPr>
            <w:tcW w:w="5235" w:type="dxa"/>
            <w:vAlign w:val="center"/>
          </w:tcPr>
          <w:p w14:paraId="3E34C7CB">
            <w:pPr>
              <w:snapToGrid w:val="0"/>
              <w:rPr>
                <w:rFonts w:hint="eastAsia" w:ascii="宋体" w:hAnsi="宋体"/>
              </w:rPr>
            </w:pPr>
            <w:r>
              <w:rPr>
                <w:rFonts w:hint="eastAsia" w:ascii="宋体" w:hAnsi="宋体"/>
              </w:rPr>
              <w:t>1）拟投入本项目的人员（不含项目负责人）同时具备工程设计类高级工程师（含正高级工程师）和注册土木工程师（岩土）的，每个得1.5分；</w:t>
            </w:r>
          </w:p>
          <w:p w14:paraId="6EFE7DB9">
            <w:pPr>
              <w:snapToGrid w:val="0"/>
              <w:rPr>
                <w:rFonts w:hint="eastAsia" w:ascii="宋体" w:hAnsi="宋体"/>
              </w:rPr>
            </w:pPr>
            <w:r>
              <w:rPr>
                <w:rFonts w:hint="eastAsia" w:ascii="宋体" w:hAnsi="宋体"/>
              </w:rPr>
              <w:t>2）具备工程设计类高级工程师职称或勘察设计类注册工程师的，每个得1分；</w:t>
            </w:r>
          </w:p>
          <w:p w14:paraId="69D37FDC">
            <w:pPr>
              <w:snapToGrid w:val="0"/>
              <w:rPr>
                <w:rFonts w:hint="eastAsia" w:ascii="宋体" w:hAnsi="宋体"/>
              </w:rPr>
            </w:pPr>
            <w:r>
              <w:rPr>
                <w:rFonts w:hint="eastAsia" w:ascii="宋体" w:hAnsi="宋体"/>
              </w:rPr>
              <w:t>3）具备工程设计类中级工程师职称的，每个得0.5分；最多计5个人员，本项最高得5分。</w:t>
            </w:r>
          </w:p>
          <w:p w14:paraId="2BC1B380">
            <w:pPr>
              <w:snapToGrid w:val="0"/>
              <w:rPr>
                <w:rFonts w:ascii="宋体" w:hAnsi="宋体"/>
              </w:rPr>
            </w:pPr>
            <w:r>
              <w:rPr>
                <w:rFonts w:hint="eastAsia" w:ascii="宋体" w:hAnsi="宋体"/>
              </w:rPr>
              <w:t>同一人员不得重复计分，同一人员具有多个证书的按得分最高得证书计算。</w:t>
            </w:r>
          </w:p>
          <w:p w14:paraId="5318BBA2">
            <w:pPr>
              <w:snapToGrid w:val="0"/>
              <w:rPr>
                <w:rFonts w:ascii="宋体" w:hAnsi="宋体"/>
                <w:szCs w:val="22"/>
                <w:shd w:val="clear" w:color="auto" w:fill="FFFFFF"/>
              </w:rPr>
            </w:pPr>
            <w:r>
              <w:rPr>
                <w:rFonts w:hint="eastAsia" w:ascii="宋体" w:hAnsi="宋体"/>
              </w:rPr>
              <w:t>注：需提供2022年1月以后任意一个月的社保证明材料复印件及职称证书、资格证书复印件加盖公章作为评分依据，不提供不得分。</w:t>
            </w:r>
          </w:p>
        </w:tc>
        <w:tc>
          <w:tcPr>
            <w:tcW w:w="800" w:type="dxa"/>
            <w:vAlign w:val="center"/>
          </w:tcPr>
          <w:p w14:paraId="229CDD0A">
            <w:pPr>
              <w:snapToGrid w:val="0"/>
              <w:rPr>
                <w:rFonts w:ascii="宋体" w:hAnsi="宋体"/>
              </w:rPr>
            </w:pPr>
          </w:p>
        </w:tc>
        <w:tc>
          <w:tcPr>
            <w:tcW w:w="530" w:type="dxa"/>
            <w:vAlign w:val="center"/>
          </w:tcPr>
          <w:p w14:paraId="3540B2C7">
            <w:pPr>
              <w:snapToGrid w:val="0"/>
              <w:rPr>
                <w:rFonts w:ascii="宋体" w:hAnsi="宋体"/>
              </w:rPr>
            </w:pPr>
          </w:p>
        </w:tc>
      </w:tr>
      <w:tr w14:paraId="0CEE5E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3" w:hRule="atLeast"/>
        </w:trPr>
        <w:tc>
          <w:tcPr>
            <w:tcW w:w="860" w:type="dxa"/>
            <w:tcBorders>
              <w:top w:val="single" w:color="auto" w:sz="4" w:space="0"/>
              <w:bottom w:val="single" w:color="auto" w:sz="4" w:space="0"/>
            </w:tcBorders>
            <w:vAlign w:val="center"/>
          </w:tcPr>
          <w:p w14:paraId="72AFBBA7">
            <w:pPr>
              <w:numPr>
                <w:ilvl w:val="0"/>
                <w:numId w:val="2"/>
              </w:numPr>
              <w:snapToGrid w:val="0"/>
              <w:jc w:val="center"/>
              <w:rPr>
                <w:rFonts w:ascii="宋体" w:hAnsi="宋体" w:cs="宋体"/>
              </w:rPr>
            </w:pPr>
          </w:p>
        </w:tc>
        <w:tc>
          <w:tcPr>
            <w:tcW w:w="1137" w:type="dxa"/>
            <w:vAlign w:val="center"/>
          </w:tcPr>
          <w:p w14:paraId="3FB1E62C">
            <w:pPr>
              <w:snapToGrid w:val="0"/>
              <w:jc w:val="center"/>
              <w:rPr>
                <w:rFonts w:ascii="宋体" w:hAnsi="宋体"/>
                <w:szCs w:val="24"/>
                <w:shd w:val="clear" w:color="auto" w:fill="FFFFFF"/>
              </w:rPr>
            </w:pPr>
            <w:r>
              <w:rPr>
                <w:rFonts w:hint="eastAsia" w:ascii="宋体" w:hAnsi="宋体"/>
                <w:szCs w:val="24"/>
                <w:shd w:val="clear" w:color="auto" w:fill="FFFFFF"/>
              </w:rPr>
              <w:t>项目业绩情况</w:t>
            </w:r>
          </w:p>
        </w:tc>
        <w:tc>
          <w:tcPr>
            <w:tcW w:w="675" w:type="dxa"/>
            <w:vAlign w:val="center"/>
          </w:tcPr>
          <w:p w14:paraId="5477B2C2">
            <w:pPr>
              <w:widowControl/>
              <w:snapToGrid w:val="0"/>
              <w:jc w:val="center"/>
              <w:rPr>
                <w:rFonts w:ascii="宋体" w:hAnsi="宋体"/>
                <w:szCs w:val="24"/>
                <w:shd w:val="clear" w:color="auto" w:fill="FFFFFF"/>
              </w:rPr>
            </w:pPr>
            <w:r>
              <w:rPr>
                <w:rFonts w:hint="eastAsia" w:ascii="宋体" w:hAnsi="宋体"/>
                <w:szCs w:val="24"/>
                <w:shd w:val="clear" w:color="auto" w:fill="FFFFFF"/>
              </w:rPr>
              <w:t>15分</w:t>
            </w:r>
          </w:p>
        </w:tc>
        <w:tc>
          <w:tcPr>
            <w:tcW w:w="5235" w:type="dxa"/>
            <w:vAlign w:val="center"/>
          </w:tcPr>
          <w:p w14:paraId="7883E2DC">
            <w:pPr>
              <w:pStyle w:val="9"/>
              <w:rPr>
                <w:rFonts w:hAnsi="宋体"/>
                <w:sz w:val="21"/>
              </w:rPr>
            </w:pPr>
            <w:r>
              <w:rPr>
                <w:rFonts w:hint="eastAsia" w:hAnsi="宋体"/>
                <w:sz w:val="21"/>
              </w:rPr>
              <w:t>申请人自2021年1月1日以来承担过</w:t>
            </w:r>
            <w:r>
              <w:rPr>
                <w:rFonts w:hint="eastAsia" w:ascii="仿宋" w:hAnsi="仿宋" w:eastAsia="仿宋" w:cs="仿宋"/>
                <w:sz w:val="32"/>
                <w:szCs w:val="32"/>
              </w:rPr>
              <w:t>地</w:t>
            </w:r>
            <w:r>
              <w:rPr>
                <w:rFonts w:hint="eastAsia" w:hAnsi="宋体"/>
                <w:sz w:val="21"/>
              </w:rPr>
              <w:t>质灾害治理工程设计业绩（以合同签订日期或中标通知书发出时间为准），按以下标准评分：</w:t>
            </w:r>
          </w:p>
          <w:p w14:paraId="0AC13C2F">
            <w:pPr>
              <w:pStyle w:val="9"/>
              <w:ind w:firstLine="420" w:firstLineChars="200"/>
              <w:rPr>
                <w:rFonts w:hint="eastAsia" w:hAnsi="宋体"/>
                <w:sz w:val="21"/>
              </w:rPr>
            </w:pPr>
            <w:r>
              <w:rPr>
                <w:rFonts w:hint="eastAsia" w:hAnsi="宋体"/>
                <w:sz w:val="21"/>
              </w:rPr>
              <w:t>每提供1个地质灾害治理或边坡治理工程设计成果（需提供中标通知书、合同关键页、最终版设计文件），工程总投资≥1000万元或设计合同金额≥50万元的，得3分；其他得1分。</w:t>
            </w:r>
          </w:p>
          <w:p w14:paraId="42735008">
            <w:pPr>
              <w:pStyle w:val="9"/>
              <w:rPr>
                <w:rFonts w:hAnsi="宋体"/>
                <w:sz w:val="21"/>
              </w:rPr>
            </w:pPr>
            <w:r>
              <w:rPr>
                <w:rFonts w:hint="eastAsia" w:hAnsi="宋体"/>
                <w:sz w:val="21"/>
              </w:rPr>
              <w:t>本项最高得15分，不累计加分</w:t>
            </w:r>
          </w:p>
        </w:tc>
        <w:tc>
          <w:tcPr>
            <w:tcW w:w="800" w:type="dxa"/>
            <w:vAlign w:val="center"/>
          </w:tcPr>
          <w:p w14:paraId="2AAE0F69">
            <w:pPr>
              <w:snapToGrid w:val="0"/>
              <w:rPr>
                <w:rFonts w:ascii="宋体" w:hAnsi="宋体"/>
              </w:rPr>
            </w:pPr>
          </w:p>
        </w:tc>
        <w:tc>
          <w:tcPr>
            <w:tcW w:w="530" w:type="dxa"/>
            <w:vAlign w:val="center"/>
          </w:tcPr>
          <w:p w14:paraId="3621321F">
            <w:pPr>
              <w:snapToGrid w:val="0"/>
              <w:rPr>
                <w:rFonts w:ascii="宋体" w:hAnsi="宋体"/>
              </w:rPr>
            </w:pPr>
          </w:p>
        </w:tc>
      </w:tr>
      <w:tr w14:paraId="447E8C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4" w:hRule="atLeast"/>
        </w:trPr>
        <w:tc>
          <w:tcPr>
            <w:tcW w:w="860" w:type="dxa"/>
            <w:tcBorders>
              <w:top w:val="single" w:color="auto" w:sz="4" w:space="0"/>
            </w:tcBorders>
            <w:vAlign w:val="center"/>
          </w:tcPr>
          <w:p w14:paraId="12FA0CDA">
            <w:pPr>
              <w:snapToGrid w:val="0"/>
              <w:jc w:val="center"/>
              <w:rPr>
                <w:rFonts w:ascii="宋体" w:hAnsi="宋体" w:cs="宋体"/>
                <w:b/>
              </w:rPr>
            </w:pPr>
            <w:r>
              <w:rPr>
                <w:rFonts w:hint="eastAsia" w:ascii="宋体" w:hAnsi="宋体" w:cs="宋体"/>
                <w:b/>
              </w:rPr>
              <w:t>（三）</w:t>
            </w:r>
          </w:p>
        </w:tc>
        <w:tc>
          <w:tcPr>
            <w:tcW w:w="7047" w:type="dxa"/>
            <w:gridSpan w:val="3"/>
            <w:vAlign w:val="center"/>
          </w:tcPr>
          <w:p w14:paraId="47A7E069">
            <w:pPr>
              <w:snapToGrid w:val="0"/>
              <w:ind w:left="-78" w:leftChars="-37" w:right="-73" w:rightChars="-35"/>
              <w:jc w:val="center"/>
              <w:rPr>
                <w:rFonts w:ascii="宋体" w:hAnsi="宋体" w:cs="宋体"/>
                <w:b/>
              </w:rPr>
            </w:pPr>
            <w:r>
              <w:rPr>
                <w:rFonts w:hint="eastAsia" w:ascii="宋体" w:hAnsi="宋体" w:cs="宋体"/>
                <w:b/>
              </w:rPr>
              <w:t>价格部分(小计30分)</w:t>
            </w:r>
          </w:p>
        </w:tc>
        <w:tc>
          <w:tcPr>
            <w:tcW w:w="800" w:type="dxa"/>
            <w:vAlign w:val="center"/>
          </w:tcPr>
          <w:p w14:paraId="4EC60DB9">
            <w:pPr>
              <w:snapToGrid w:val="0"/>
              <w:ind w:left="-78" w:leftChars="-37" w:right="-73" w:rightChars="-35"/>
              <w:jc w:val="center"/>
              <w:rPr>
                <w:rFonts w:ascii="宋体" w:hAnsi="宋体" w:cs="宋体"/>
                <w:b/>
              </w:rPr>
            </w:pPr>
          </w:p>
        </w:tc>
        <w:tc>
          <w:tcPr>
            <w:tcW w:w="530" w:type="dxa"/>
            <w:vAlign w:val="center"/>
          </w:tcPr>
          <w:p w14:paraId="1E586C13">
            <w:pPr>
              <w:snapToGrid w:val="0"/>
              <w:ind w:left="-78" w:leftChars="-37" w:right="-73" w:rightChars="-35"/>
              <w:jc w:val="center"/>
              <w:rPr>
                <w:rFonts w:ascii="宋体" w:hAnsi="宋体" w:cs="宋体"/>
                <w:b/>
              </w:rPr>
            </w:pPr>
          </w:p>
        </w:tc>
      </w:tr>
      <w:tr w14:paraId="4D9638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26" w:hRule="atLeast"/>
        </w:trPr>
        <w:tc>
          <w:tcPr>
            <w:tcW w:w="860" w:type="dxa"/>
            <w:vAlign w:val="center"/>
          </w:tcPr>
          <w:p w14:paraId="790978F2">
            <w:pPr>
              <w:snapToGrid w:val="0"/>
              <w:jc w:val="center"/>
              <w:rPr>
                <w:rFonts w:ascii="宋体" w:hAnsi="宋体" w:cs="宋体"/>
              </w:rPr>
            </w:pPr>
            <w:r>
              <w:rPr>
                <w:rFonts w:hint="eastAsia" w:ascii="宋体" w:hAnsi="宋体" w:cs="宋体"/>
              </w:rPr>
              <w:t>1</w:t>
            </w:r>
          </w:p>
        </w:tc>
        <w:tc>
          <w:tcPr>
            <w:tcW w:w="1137" w:type="dxa"/>
            <w:vAlign w:val="center"/>
          </w:tcPr>
          <w:p w14:paraId="75BD4186">
            <w:pPr>
              <w:snapToGrid w:val="0"/>
              <w:jc w:val="center"/>
              <w:rPr>
                <w:rFonts w:ascii="宋体" w:hAnsi="宋体" w:cs="宋体"/>
              </w:rPr>
            </w:pPr>
            <w:r>
              <w:rPr>
                <w:rFonts w:hint="eastAsia" w:ascii="宋体" w:hAnsi="宋体" w:cs="宋体"/>
              </w:rPr>
              <w:t>投标报价</w:t>
            </w:r>
          </w:p>
        </w:tc>
        <w:tc>
          <w:tcPr>
            <w:tcW w:w="675" w:type="dxa"/>
            <w:vAlign w:val="center"/>
          </w:tcPr>
          <w:p w14:paraId="7559D688">
            <w:pPr>
              <w:snapToGrid w:val="0"/>
              <w:jc w:val="center"/>
              <w:rPr>
                <w:rFonts w:ascii="宋体" w:hAnsi="宋体" w:cs="宋体"/>
                <w:bCs/>
              </w:rPr>
            </w:pPr>
            <w:r>
              <w:rPr>
                <w:rFonts w:hint="eastAsia" w:ascii="宋体" w:hAnsi="宋体" w:cs="宋体"/>
                <w:bCs/>
              </w:rPr>
              <w:t>30分</w:t>
            </w:r>
          </w:p>
        </w:tc>
        <w:tc>
          <w:tcPr>
            <w:tcW w:w="5235" w:type="dxa"/>
            <w:vAlign w:val="center"/>
          </w:tcPr>
          <w:p w14:paraId="10464401">
            <w:pPr>
              <w:snapToGrid w:val="0"/>
              <w:rPr>
                <w:rFonts w:ascii="宋体" w:hAnsi="宋体"/>
              </w:rPr>
            </w:pPr>
            <w:r>
              <w:rPr>
                <w:rFonts w:hint="eastAsia" w:ascii="宋体" w:hAnsi="宋体"/>
              </w:rPr>
              <w:t>综合评分法中的价格分统一采用低价优先法计算，即满足竞争性磋商文件要求（通过资格性、符合性审查）且磋商价格最低的有效磋商报价（指价格核准后的价格，下同）为评标基准价，其价格分为满分。其他响应供应商的价格分统一按照下列公式计算：</w:t>
            </w:r>
          </w:p>
          <w:p w14:paraId="11F59848">
            <w:pPr>
              <w:snapToGrid w:val="0"/>
              <w:rPr>
                <w:rFonts w:ascii="宋体" w:hAnsi="宋体"/>
              </w:rPr>
            </w:pPr>
            <w:r>
              <w:rPr>
                <w:rFonts w:hint="eastAsia" w:ascii="宋体" w:hAnsi="宋体"/>
              </w:rPr>
              <w:t>磋商报价得分=(磋商基准价/最后磋商报价)×价格权值×100</w:t>
            </w:r>
          </w:p>
          <w:p w14:paraId="3584606D">
            <w:pPr>
              <w:snapToGrid w:val="0"/>
              <w:rPr>
                <w:rFonts w:ascii="宋体" w:hAnsi="宋体"/>
              </w:rPr>
            </w:pPr>
            <w:r>
              <w:rPr>
                <w:rFonts w:hint="eastAsia" w:ascii="宋体" w:hAnsi="宋体"/>
              </w:rPr>
              <w:t>备注：1）因落实政府采购政策进行价格调整的，以调整后的价格计算评标基准价和磋商报价。</w:t>
            </w:r>
          </w:p>
          <w:p w14:paraId="0923115B">
            <w:pPr>
              <w:snapToGrid w:val="0"/>
              <w:rPr>
                <w:rFonts w:ascii="宋体" w:hAnsi="宋体"/>
              </w:rPr>
            </w:pPr>
            <w:r>
              <w:rPr>
                <w:rFonts w:hint="eastAsia" w:ascii="宋体" w:hAnsi="宋体"/>
              </w:rPr>
              <w:t>2）磋商报价得分四舍五入后，小数点后保留两位有效数。</w:t>
            </w:r>
          </w:p>
          <w:p w14:paraId="3BD9A4E2">
            <w:pPr>
              <w:snapToGrid w:val="0"/>
              <w:rPr>
                <w:rFonts w:ascii="宋体" w:hAnsi="宋体" w:cs="宋体"/>
                <w:bCs/>
                <w:spacing w:val="10"/>
              </w:rPr>
            </w:pPr>
            <w:r>
              <w:rPr>
                <w:rFonts w:hint="eastAsia" w:ascii="宋体" w:hAnsi="宋体"/>
              </w:rPr>
              <w:t>3）磋商报价以“1-投标下浮率”进行价格评分的计算。</w:t>
            </w:r>
          </w:p>
        </w:tc>
        <w:tc>
          <w:tcPr>
            <w:tcW w:w="800" w:type="dxa"/>
            <w:vAlign w:val="center"/>
          </w:tcPr>
          <w:p w14:paraId="4BB43568">
            <w:pPr>
              <w:snapToGrid w:val="0"/>
              <w:rPr>
                <w:rFonts w:ascii="宋体" w:hAnsi="宋体"/>
              </w:rPr>
            </w:pPr>
          </w:p>
        </w:tc>
        <w:tc>
          <w:tcPr>
            <w:tcW w:w="530" w:type="dxa"/>
            <w:vAlign w:val="center"/>
          </w:tcPr>
          <w:p w14:paraId="6587BE38">
            <w:pPr>
              <w:snapToGrid w:val="0"/>
              <w:rPr>
                <w:rFonts w:ascii="宋体" w:hAnsi="宋体"/>
              </w:rPr>
            </w:pPr>
          </w:p>
        </w:tc>
      </w:tr>
      <w:tr w14:paraId="706E2F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20" w:hRule="atLeast"/>
        </w:trPr>
        <w:tc>
          <w:tcPr>
            <w:tcW w:w="9237" w:type="dxa"/>
            <w:gridSpan w:val="6"/>
            <w:vAlign w:val="center"/>
          </w:tcPr>
          <w:p w14:paraId="0C73253B">
            <w:pPr>
              <w:widowControl/>
              <w:textAlignment w:val="center"/>
              <w:rPr>
                <w:rFonts w:ascii="楷体" w:hAnsi="楷体" w:eastAsia="楷体" w:cs="楷体"/>
                <w:sz w:val="24"/>
                <w:szCs w:val="24"/>
                <w:lang w:bidi="ar"/>
              </w:rPr>
            </w:pPr>
            <w:r>
              <w:rPr>
                <w:rFonts w:hint="eastAsia" w:ascii="楷体" w:hAnsi="楷体" w:eastAsia="楷体" w:cs="楷体"/>
                <w:sz w:val="24"/>
                <w:szCs w:val="24"/>
                <w:lang w:bidi="ar"/>
              </w:rPr>
              <w:t>评分说明：</w:t>
            </w:r>
          </w:p>
          <w:p w14:paraId="2A892A71">
            <w:pPr>
              <w:snapToGrid w:val="0"/>
              <w:rPr>
                <w:rFonts w:ascii="宋体" w:hAnsi="宋体"/>
              </w:rPr>
            </w:pPr>
            <w:r>
              <w:rPr>
                <w:rFonts w:hint="eastAsia" w:ascii="楷体" w:hAnsi="楷体" w:eastAsia="楷体" w:cs="楷体"/>
                <w:sz w:val="24"/>
                <w:szCs w:val="24"/>
                <w:lang w:bidi="ar"/>
              </w:rPr>
              <w:t>根据院内竞标细则，参加综合评标人员：各专业委员会随机抽取5人或财务科1人、使用科室2人、采购业务归口管理部门1人、采购业务归口管理部门分管领导。监督部门：纪检监察和审计科。原则上至少由 5 人组成专家评分组，进行评分，去掉一个最高分，去掉一个最低分，取平均分。按得分由高到低顺序确定中标候选单位；得分相同的，按投标报价由低到高顺序确定中标候选单位；得分且投标报价相同的，按技术指标优劣顺序确定中标单位。</w:t>
            </w:r>
          </w:p>
        </w:tc>
      </w:tr>
    </w:tbl>
    <w:p w14:paraId="34E9A30F">
      <w:pPr>
        <w:pStyle w:val="9"/>
      </w:pPr>
    </w:p>
    <w:p w14:paraId="0F997D27">
      <w:pPr>
        <w:spacing w:line="440" w:lineRule="exact"/>
        <w:rPr>
          <w:rFonts w:ascii="楷体" w:hAnsi="楷体" w:eastAsia="楷体" w:cs="楷体"/>
          <w:iCs/>
          <w:sz w:val="24"/>
        </w:rPr>
      </w:pPr>
      <w:r>
        <w:rPr>
          <w:rFonts w:hint="eastAsia" w:ascii="楷体" w:hAnsi="楷体" w:eastAsia="楷体" w:cs="楷体"/>
          <w:iCs/>
          <w:sz w:val="24"/>
        </w:rPr>
        <w:t>备注：1.以上表格由评委单独填写；</w:t>
      </w:r>
    </w:p>
    <w:p w14:paraId="3A1D097A">
      <w:pPr>
        <w:numPr>
          <w:ilvl w:val="0"/>
          <w:numId w:val="3"/>
        </w:numPr>
        <w:spacing w:line="440" w:lineRule="exact"/>
        <w:rPr>
          <w:rFonts w:ascii="楷体" w:hAnsi="楷体" w:eastAsia="楷体" w:cs="楷体"/>
          <w:iCs/>
          <w:sz w:val="24"/>
        </w:rPr>
      </w:pPr>
      <w:r>
        <w:rPr>
          <w:rFonts w:hint="eastAsia" w:ascii="楷体" w:hAnsi="楷体" w:eastAsia="楷体" w:cs="楷体"/>
          <w:iCs/>
          <w:sz w:val="24"/>
        </w:rPr>
        <w:t>供应商最终得分为所有评委打分的算术平均值。</w:t>
      </w:r>
    </w:p>
    <w:p w14:paraId="03DC102B">
      <w:pPr>
        <w:pStyle w:val="10"/>
      </w:pPr>
    </w:p>
    <w:p w14:paraId="784F13A9">
      <w:pPr>
        <w:pStyle w:val="10"/>
      </w:pPr>
    </w:p>
    <w:p w14:paraId="61456908">
      <w:pPr>
        <w:pStyle w:val="10"/>
      </w:pPr>
    </w:p>
    <w:p w14:paraId="43CA08FD">
      <w:pPr>
        <w:pStyle w:val="10"/>
      </w:pPr>
    </w:p>
    <w:p w14:paraId="521808B6">
      <w:pPr>
        <w:pStyle w:val="10"/>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29F54">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459B3A">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3</w:t>
                          </w:r>
                          <w:r>
                            <w:rPr>
                              <w:rFonts w:hint="eastAsia"/>
                              <w:sz w:val="18"/>
                            </w:rPr>
                            <w:fldChar w:fldCharType="end"/>
                          </w:r>
                          <w:r>
                            <w:rPr>
                              <w:rFonts w:hint="eastAsia"/>
                              <w:sz w:val="18"/>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2D459B3A">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3</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A5F8">
    <w:pPr>
      <w:pStyle w:val="12"/>
      <w:jc w:val="both"/>
      <w:rPr>
        <w:rFonts w:ascii="宋体"/>
        <w:bCs/>
      </w:rPr>
    </w:pPr>
    <w:r>
      <w:rPr>
        <w:rFonts w:hint="eastAsia" w:ascii="宋体"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714A5A"/>
    <w:multiLevelType w:val="multilevel"/>
    <w:tmpl w:val="24714A5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7F7CA34"/>
    <w:multiLevelType w:val="singleLevel"/>
    <w:tmpl w:val="57F7CA34"/>
    <w:lvl w:ilvl="0" w:tentative="0">
      <w:start w:val="2"/>
      <w:numFmt w:val="decimal"/>
      <w:lvlText w:val="%1."/>
      <w:lvlJc w:val="left"/>
      <w:pPr>
        <w:tabs>
          <w:tab w:val="left" w:pos="312"/>
        </w:tabs>
      </w:pPr>
    </w:lvl>
  </w:abstractNum>
  <w:abstractNum w:abstractNumId="2">
    <w:nsid w:val="6C73457C"/>
    <w:multiLevelType w:val="multilevel"/>
    <w:tmpl w:val="6C73457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jMzFjZmM3NWZiYjNjOTQ4ZjlkOTNhOGFlNzRhZGQifQ=="/>
  </w:docVars>
  <w:rsids>
    <w:rsidRoot w:val="0076054D"/>
    <w:rsid w:val="00080C9E"/>
    <w:rsid w:val="000E3399"/>
    <w:rsid w:val="00133536"/>
    <w:rsid w:val="00141844"/>
    <w:rsid w:val="00214289"/>
    <w:rsid w:val="002F4109"/>
    <w:rsid w:val="0060098D"/>
    <w:rsid w:val="00665FAD"/>
    <w:rsid w:val="0076054D"/>
    <w:rsid w:val="00B4703C"/>
    <w:rsid w:val="00BE6B73"/>
    <w:rsid w:val="00C27BB2"/>
    <w:rsid w:val="00C54108"/>
    <w:rsid w:val="00D94A3C"/>
    <w:rsid w:val="00E40643"/>
    <w:rsid w:val="00F85E2E"/>
    <w:rsid w:val="05914E70"/>
    <w:rsid w:val="06E2008F"/>
    <w:rsid w:val="0D9251C1"/>
    <w:rsid w:val="0EC2314C"/>
    <w:rsid w:val="1838414A"/>
    <w:rsid w:val="1BB005D0"/>
    <w:rsid w:val="1CAE4E2F"/>
    <w:rsid w:val="1DC67833"/>
    <w:rsid w:val="1EC5360D"/>
    <w:rsid w:val="201A689F"/>
    <w:rsid w:val="243B7951"/>
    <w:rsid w:val="295F06C9"/>
    <w:rsid w:val="2B727E82"/>
    <w:rsid w:val="2EF569E0"/>
    <w:rsid w:val="2F5E618C"/>
    <w:rsid w:val="30ED0516"/>
    <w:rsid w:val="358D536F"/>
    <w:rsid w:val="373670E9"/>
    <w:rsid w:val="379857DE"/>
    <w:rsid w:val="39BF64F6"/>
    <w:rsid w:val="3E675AB4"/>
    <w:rsid w:val="47B07CDD"/>
    <w:rsid w:val="4DC322E1"/>
    <w:rsid w:val="530F551B"/>
    <w:rsid w:val="552C1D08"/>
    <w:rsid w:val="5BF579A9"/>
    <w:rsid w:val="62F8124F"/>
    <w:rsid w:val="725641DE"/>
    <w:rsid w:val="736D318F"/>
    <w:rsid w:val="78925B44"/>
    <w:rsid w:val="7BA07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Calibri" w:hAnsi="Calibri" w:eastAsia="宋体" w:cs="Times New Roman"/>
      <w:sz w:val="21"/>
      <w:szCs w:val="21"/>
      <w:lang w:val="en-US" w:eastAsia="zh-CN" w:bidi="ar-SA"/>
    </w:rPr>
  </w:style>
  <w:style w:type="paragraph" w:styleId="2">
    <w:name w:val="heading 1"/>
    <w:basedOn w:val="1"/>
    <w:next w:val="1"/>
    <w:qFormat/>
    <w:uiPriority w:val="0"/>
    <w:pPr>
      <w:keepNext/>
      <w:keepLines/>
      <w:spacing w:before="360" w:after="340" w:line="360" w:lineRule="auto"/>
      <w:jc w:val="center"/>
      <w:outlineLvl w:val="0"/>
    </w:pPr>
    <w:rPr>
      <w:rFonts w:ascii="宋体" w:hAnsi="宋体"/>
      <w:b/>
      <w:bCs/>
      <w:kern w:val="44"/>
      <w:sz w:val="44"/>
      <w:szCs w:val="44"/>
    </w:rPr>
  </w:style>
  <w:style w:type="paragraph" w:styleId="3">
    <w:name w:val="heading 2"/>
    <w:basedOn w:val="1"/>
    <w:next w:val="1"/>
    <w:qFormat/>
    <w:uiPriority w:val="0"/>
    <w:pPr>
      <w:keepNext/>
      <w:keepLines/>
      <w:adjustRightInd/>
      <w:spacing w:before="260" w:after="260" w:line="416" w:lineRule="auto"/>
      <w:jc w:val="both"/>
      <w:outlineLvl w:val="1"/>
    </w:pPr>
    <w:rPr>
      <w:rFonts w:ascii="Arial" w:hAnsi="Arial" w:eastAsia="黑体"/>
      <w:b/>
      <w:bCs/>
      <w:kern w:val="2"/>
      <w:sz w:val="32"/>
      <w:szCs w:val="32"/>
    </w:rPr>
  </w:style>
  <w:style w:type="paragraph" w:styleId="4">
    <w:name w:val="heading 3"/>
    <w:basedOn w:val="1"/>
    <w:next w:val="1"/>
    <w:qFormat/>
    <w:uiPriority w:val="0"/>
    <w:pPr>
      <w:keepNext/>
      <w:keepLines/>
      <w:spacing w:line="360" w:lineRule="auto"/>
      <w:outlineLvl w:val="2"/>
    </w:pPr>
    <w:rPr>
      <w:rFonts w:ascii="Times New Roman" w:hAnsi="Times New Roman"/>
      <w:b/>
      <w:bCs/>
      <w:color w:val="000000"/>
      <w:sz w:val="28"/>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2"/>
    </w:rPr>
  </w:style>
  <w:style w:type="paragraph" w:styleId="6">
    <w:name w:val="annotation text"/>
    <w:basedOn w:val="1"/>
    <w:qFormat/>
    <w:uiPriority w:val="0"/>
    <w:rPr>
      <w:rFonts w:cs="黑体"/>
    </w:rPr>
  </w:style>
  <w:style w:type="paragraph" w:styleId="7">
    <w:name w:val="Body Text"/>
    <w:basedOn w:val="1"/>
    <w:next w:val="8"/>
    <w:qFormat/>
    <w:uiPriority w:val="0"/>
    <w:pPr>
      <w:adjustRightInd/>
      <w:spacing w:after="120"/>
      <w:jc w:val="both"/>
    </w:pPr>
    <w:rPr>
      <w:kern w:val="2"/>
      <w:szCs w:val="24"/>
    </w:rPr>
  </w:style>
  <w:style w:type="paragraph" w:styleId="8">
    <w:name w:val="toc 5"/>
    <w:basedOn w:val="1"/>
    <w:next w:val="1"/>
    <w:qFormat/>
    <w:uiPriority w:val="0"/>
    <w:pPr>
      <w:ind w:left="1680" w:leftChars="800"/>
    </w:pPr>
  </w:style>
  <w:style w:type="paragraph" w:styleId="9">
    <w:name w:val="Plain Text"/>
    <w:basedOn w:val="1"/>
    <w:next w:val="10"/>
    <w:qFormat/>
    <w:uiPriority w:val="0"/>
    <w:rPr>
      <w:rFonts w:ascii="宋体" w:hAnsi="Courier New"/>
      <w:sz w:val="20"/>
    </w:rPr>
  </w:style>
  <w:style w:type="paragraph" w:customStyle="1" w:styleId="1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11">
    <w:name w:val="footer"/>
    <w:basedOn w:val="1"/>
    <w:qFormat/>
    <w:uiPriority w:val="0"/>
    <w:pPr>
      <w:tabs>
        <w:tab w:val="center" w:pos="4153"/>
        <w:tab w:val="right" w:pos="8306"/>
      </w:tabs>
      <w:snapToGrid w:val="0"/>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5">
    <w:name w:val="列出段落1"/>
    <w:basedOn w:val="1"/>
    <w:qFormat/>
    <w:uiPriority w:val="0"/>
    <w:pPr>
      <w:adjustRightInd/>
      <w:ind w:firstLine="420" w:firstLineChars="200"/>
      <w:jc w:val="both"/>
    </w:pPr>
    <w:rPr>
      <w:rFonts w:ascii="Times New Roman" w:hAnsi="Times New Roman"/>
      <w:kern w:val="2"/>
    </w:rPr>
  </w:style>
  <w:style w:type="paragraph" w:customStyle="1" w:styleId="16">
    <w:name w:val="纯文本1"/>
    <w:basedOn w:val="1"/>
    <w:qFormat/>
    <w:uiPriority w:val="0"/>
    <w:pPr>
      <w:adjustRightInd/>
      <w:jc w:val="both"/>
    </w:pPr>
    <w:rPr>
      <w:rFonts w:ascii="宋体" w:hAnsi="Courier New" w:cs="Courier New"/>
      <w:kern w:val="2"/>
    </w:rPr>
  </w:style>
  <w:style w:type="paragraph" w:customStyle="1" w:styleId="17">
    <w:name w:val="正文缩进1"/>
    <w:basedOn w:val="1"/>
    <w:qFormat/>
    <w:uiPriority w:val="0"/>
    <w:pPr>
      <w:ind w:firstLine="420"/>
    </w:pPr>
    <w:rPr>
      <w:szCs w:val="22"/>
    </w:rPr>
  </w:style>
  <w:style w:type="paragraph" w:customStyle="1" w:styleId="18">
    <w:name w:val="Plain Text1"/>
    <w:basedOn w:val="1"/>
    <w:qFormat/>
    <w:uiPriority w:val="0"/>
    <w:pPr>
      <w:adjustRightInd/>
      <w:jc w:val="both"/>
    </w:pPr>
    <w:rPr>
      <w:rFonts w:ascii="宋体" w:hAnsi="Courier New" w:cs="Courier New"/>
      <w:kern w:val="2"/>
    </w:rPr>
  </w:style>
  <w:style w:type="paragraph" w:customStyle="1" w:styleId="19">
    <w:name w:val="正文样式"/>
    <w:basedOn w:val="1"/>
    <w:qFormat/>
    <w:uiPriority w:val="0"/>
    <w:pPr>
      <w:spacing w:line="312" w:lineRule="auto"/>
      <w:ind w:firstLine="230" w:firstLineChars="230"/>
    </w:pPr>
    <w:rPr>
      <w:rFonts w:ascii="宋体"/>
      <w:sz w:val="24"/>
      <w:szCs w:val="20"/>
      <w:lang w:val="en-GB"/>
    </w:rPr>
  </w:style>
  <w:style w:type="paragraph" w:customStyle="1" w:styleId="20">
    <w:name w:val="文章正文"/>
    <w:basedOn w:val="1"/>
    <w:qFormat/>
    <w:uiPriority w:val="0"/>
    <w:pPr>
      <w:spacing w:line="560" w:lineRule="exact"/>
      <w:ind w:firstLine="200" w:firstLineChars="200"/>
    </w:pPr>
    <w:rPr>
      <w:sz w:val="24"/>
    </w:rPr>
  </w:style>
  <w:style w:type="character" w:customStyle="1" w:styleId="21">
    <w:name w:val="Char Char Char Char Char Char Char Char Char1 Char Char Char Char Char"/>
    <w:link w:val="22"/>
    <w:qFormat/>
    <w:uiPriority w:val="0"/>
    <w:rPr>
      <w:rFonts w:ascii="宋体" w:hAnsi="宋体" w:cs="宋体"/>
      <w:sz w:val="24"/>
    </w:rPr>
  </w:style>
  <w:style w:type="paragraph" w:customStyle="1" w:styleId="22">
    <w:name w:val="Char Char Char Char Char Char Char Char Char1 Char Char Char Char"/>
    <w:basedOn w:val="1"/>
    <w:link w:val="21"/>
    <w:qFormat/>
    <w:uiPriority w:val="0"/>
    <w:pPr>
      <w:spacing w:line="360" w:lineRule="auto"/>
      <w:ind w:firstLine="200" w:firstLineChars="200"/>
    </w:pPr>
    <w:rPr>
      <w:rFonts w:ascii="宋体" w:hAnsi="宋体" w:cs="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2098</Words>
  <Characters>2165</Characters>
  <Lines>16</Lines>
  <Paragraphs>4</Paragraphs>
  <TotalTime>2</TotalTime>
  <ScaleCrop>false</ScaleCrop>
  <LinksUpToDate>false</LinksUpToDate>
  <CharactersWithSpaces>2209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2022-04-21T01:30:00Z</dcterms:created>
  <dc:creator>PC</dc:creator>
  <cp:lastModifiedBy>sun</cp:lastModifiedBy>
  <cp:lastPrinted>2025-10-21T06:25:00Z</cp:lastPrinted>
  <dcterms:modified xsi:type="dcterms:W3CDTF">2026-03-21T01:56:14Z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05CD8231EAB04FE18A314079AD7356EF_13</vt:lpwstr>
  </property>
  <property fmtid="{D5CDD505-2E9C-101B-9397-08002B2CF9AE}" pid="4" name="KSOTemplateDocerSaveRecord">
    <vt:lpwstr>eyJoZGlkIjoiMTk3OWYxMWY2MjVhMDYwMjJkYTNkZWQxMGU0MTNiZmYiLCJ1c2VySWQiOiIyMDQyMTMxMzUifQ==</vt:lpwstr>
  </property>
</Properties>
</file>